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C63" w:rsidRDefault="00720BDD">
      <w:r>
        <w:rPr>
          <w:noProof/>
        </w:rPr>
        <w:drawing>
          <wp:anchor distT="0" distB="0" distL="114300" distR="114300" simplePos="0" relativeHeight="251659264" behindDoc="1" locked="0" layoutInCell="1" allowOverlap="1">
            <wp:simplePos x="0" y="0"/>
            <wp:positionH relativeFrom="column">
              <wp:posOffset>-973455</wp:posOffset>
            </wp:positionH>
            <wp:positionV relativeFrom="page">
              <wp:posOffset>-1905</wp:posOffset>
            </wp:positionV>
            <wp:extent cx="7559040" cy="10687685"/>
            <wp:effectExtent l="0" t="0" r="3810" b="18415"/>
            <wp:wrapNone/>
            <wp:docPr id="5" name="图片 5"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1.png图片1"/>
                    <pic:cNvPicPr>
                      <a:picLocks noChangeAspect="1"/>
                    </pic:cNvPicPr>
                  </pic:nvPicPr>
                  <pic:blipFill>
                    <a:blip r:embed="rId8"/>
                    <a:srcRect/>
                    <a:stretch>
                      <a:fillRect/>
                    </a:stretch>
                  </pic:blipFill>
                  <pic:spPr>
                    <a:xfrm>
                      <a:off x="0" y="0"/>
                      <a:ext cx="7559040" cy="10687685"/>
                    </a:xfrm>
                    <a:prstGeom prst="rect">
                      <a:avLst/>
                    </a:prstGeom>
                  </pic:spPr>
                </pic:pic>
              </a:graphicData>
            </a:graphic>
          </wp:anchor>
        </w:drawing>
      </w:r>
      <w:r>
        <w:br w:type="page"/>
      </w:r>
    </w:p>
    <w:p w:rsidR="00E77C63" w:rsidRDefault="00E77C63">
      <w:pPr>
        <w:rPr>
          <w:rFonts w:ascii="黑体" w:eastAsia="黑体" w:hAnsi="黑体" w:cs="黑体"/>
          <w:sz w:val="72"/>
          <w:szCs w:val="96"/>
        </w:rPr>
      </w:pPr>
    </w:p>
    <w:p w:rsidR="00E77C63" w:rsidRDefault="00720BDD">
      <w:pPr>
        <w:rPr>
          <w:rFonts w:ascii="黑体" w:eastAsia="黑体" w:hAnsi="黑体" w:cs="黑体"/>
          <w:sz w:val="72"/>
          <w:szCs w:val="96"/>
        </w:rPr>
      </w:pPr>
      <w:r>
        <w:rPr>
          <w:rFonts w:ascii="黑体" w:eastAsia="黑体" w:hAnsi="黑体" w:cs="黑体" w:hint="eastAsia"/>
          <w:sz w:val="72"/>
          <w:szCs w:val="96"/>
        </w:rPr>
        <w:t>2020</w:t>
      </w:r>
      <w:r>
        <w:rPr>
          <w:rFonts w:ascii="黑体" w:eastAsia="黑体" w:hAnsi="黑体" w:cs="黑体" w:hint="eastAsia"/>
          <w:sz w:val="72"/>
          <w:szCs w:val="96"/>
        </w:rPr>
        <w:t>年度部门决算公开文本</w:t>
      </w:r>
    </w:p>
    <w:p w:rsidR="00E77C63" w:rsidRDefault="00E77C63">
      <w:pPr>
        <w:spacing w:line="360" w:lineRule="auto"/>
        <w:jc w:val="center"/>
        <w:rPr>
          <w:rFonts w:ascii="黑体" w:eastAsia="黑体" w:hAnsi="黑体" w:cs="黑体"/>
          <w:sz w:val="56"/>
          <w:szCs w:val="72"/>
        </w:rPr>
      </w:pPr>
    </w:p>
    <w:p w:rsidR="00E77C63" w:rsidRDefault="00E77C63">
      <w:pPr>
        <w:spacing w:line="600" w:lineRule="auto"/>
        <w:jc w:val="center"/>
        <w:rPr>
          <w:rFonts w:ascii="黑体" w:eastAsia="黑体" w:hAnsi="黑体" w:cs="黑体"/>
          <w:sz w:val="56"/>
          <w:szCs w:val="72"/>
        </w:rPr>
      </w:pPr>
    </w:p>
    <w:p w:rsidR="00E77C63" w:rsidRDefault="00E77C63">
      <w:pPr>
        <w:spacing w:line="600" w:lineRule="auto"/>
        <w:jc w:val="center"/>
        <w:rPr>
          <w:rFonts w:ascii="黑体" w:eastAsia="黑体" w:hAnsi="黑体" w:cs="黑体"/>
          <w:sz w:val="56"/>
          <w:szCs w:val="72"/>
        </w:rPr>
      </w:pPr>
    </w:p>
    <w:p w:rsidR="00E77C63" w:rsidRDefault="00E77C63">
      <w:pPr>
        <w:spacing w:line="600" w:lineRule="auto"/>
        <w:jc w:val="center"/>
        <w:rPr>
          <w:rFonts w:ascii="黑体" w:eastAsia="黑体" w:hAnsi="黑体" w:cs="黑体"/>
          <w:sz w:val="56"/>
          <w:szCs w:val="72"/>
        </w:rPr>
      </w:pPr>
    </w:p>
    <w:p w:rsidR="00E77C63" w:rsidRDefault="00E77C63">
      <w:pPr>
        <w:spacing w:line="600" w:lineRule="auto"/>
        <w:jc w:val="center"/>
        <w:rPr>
          <w:rFonts w:ascii="黑体" w:eastAsia="黑体" w:hAnsi="黑体" w:cs="黑体"/>
          <w:sz w:val="56"/>
          <w:szCs w:val="72"/>
        </w:rPr>
      </w:pPr>
    </w:p>
    <w:p w:rsidR="00E77C63" w:rsidRDefault="00E77C63">
      <w:pPr>
        <w:spacing w:line="480" w:lineRule="auto"/>
        <w:jc w:val="center"/>
        <w:rPr>
          <w:rFonts w:ascii="黑体" w:eastAsia="黑体" w:hAnsi="黑体" w:cs="黑体"/>
          <w:sz w:val="56"/>
          <w:szCs w:val="72"/>
        </w:rPr>
      </w:pPr>
    </w:p>
    <w:p w:rsidR="00E77C63" w:rsidRDefault="00E77C63">
      <w:pPr>
        <w:spacing w:line="480" w:lineRule="auto"/>
        <w:jc w:val="center"/>
        <w:rPr>
          <w:rFonts w:ascii="黑体" w:eastAsia="黑体" w:hAnsi="黑体" w:cs="黑体"/>
          <w:sz w:val="56"/>
          <w:szCs w:val="72"/>
        </w:rPr>
      </w:pPr>
    </w:p>
    <w:p w:rsidR="00E77C63" w:rsidRDefault="00E77C63">
      <w:pPr>
        <w:spacing w:line="480" w:lineRule="auto"/>
        <w:jc w:val="center"/>
        <w:rPr>
          <w:rFonts w:ascii="黑体" w:eastAsia="黑体" w:hAnsi="黑体" w:cs="黑体"/>
          <w:sz w:val="56"/>
          <w:szCs w:val="72"/>
        </w:rPr>
      </w:pPr>
    </w:p>
    <w:p w:rsidR="00E77C63" w:rsidRDefault="00E77C63">
      <w:pPr>
        <w:spacing w:line="480" w:lineRule="auto"/>
        <w:jc w:val="center"/>
        <w:rPr>
          <w:rFonts w:ascii="黑体" w:eastAsia="黑体" w:hAnsi="黑体" w:cs="黑体"/>
          <w:sz w:val="56"/>
          <w:szCs w:val="72"/>
        </w:rPr>
      </w:pPr>
    </w:p>
    <w:p w:rsidR="00E77C63" w:rsidRDefault="00720BDD">
      <w:pPr>
        <w:snapToGrid w:val="0"/>
        <w:jc w:val="center"/>
        <w:rPr>
          <w:rFonts w:ascii="楷体_GB2312" w:eastAsia="楷体_GB2312" w:hAnsi="楷体_GB2312" w:cs="楷体_GB2312"/>
          <w:color w:val="000000" w:themeColor="text1"/>
          <w:kern w:val="0"/>
          <w:sz w:val="44"/>
          <w:szCs w:val="44"/>
          <w:highlight w:val="yellow"/>
        </w:rPr>
      </w:pPr>
      <w:r>
        <w:rPr>
          <w:rFonts w:ascii="楷体_GB2312" w:eastAsia="楷体_GB2312" w:hAnsi="楷体_GB2312" w:cs="楷体_GB2312" w:hint="eastAsia"/>
          <w:color w:val="000000" w:themeColor="text1"/>
          <w:kern w:val="0"/>
          <w:sz w:val="44"/>
          <w:szCs w:val="44"/>
        </w:rPr>
        <w:t>张家口市第四医院</w:t>
      </w:r>
    </w:p>
    <w:p w:rsidR="00E77C63" w:rsidRDefault="00720BDD">
      <w:pPr>
        <w:snapToGrid w:val="0"/>
        <w:jc w:val="center"/>
        <w:rPr>
          <w:rFonts w:ascii="楷体_GB2312" w:eastAsia="楷体_GB2312" w:hAnsi="楷体_GB2312" w:cs="楷体_GB2312"/>
          <w:color w:val="000000" w:themeColor="text1"/>
          <w:kern w:val="0"/>
          <w:sz w:val="40"/>
          <w:szCs w:val="40"/>
        </w:rPr>
      </w:pPr>
      <w:r>
        <w:rPr>
          <w:rFonts w:ascii="楷体_GB2312" w:eastAsia="楷体_GB2312" w:hAnsi="楷体_GB2312" w:cs="楷体_GB2312" w:hint="eastAsia"/>
          <w:color w:val="000000" w:themeColor="text1"/>
          <w:kern w:val="0"/>
          <w:sz w:val="40"/>
          <w:szCs w:val="40"/>
        </w:rPr>
        <w:t>二〇二一年</w:t>
      </w:r>
      <w:r>
        <w:rPr>
          <w:rFonts w:ascii="楷体_GB2312" w:eastAsia="楷体_GB2312" w:hAnsi="楷体_GB2312" w:cs="楷体_GB2312" w:hint="eastAsia"/>
          <w:color w:val="000000" w:themeColor="text1"/>
          <w:kern w:val="0"/>
          <w:sz w:val="40"/>
          <w:szCs w:val="40"/>
        </w:rPr>
        <w:t>十一</w:t>
      </w:r>
      <w:r>
        <w:rPr>
          <w:rFonts w:ascii="楷体_GB2312" w:eastAsia="楷体_GB2312" w:hAnsi="楷体_GB2312" w:cs="楷体_GB2312" w:hint="eastAsia"/>
          <w:color w:val="000000" w:themeColor="text1"/>
          <w:kern w:val="0"/>
          <w:sz w:val="40"/>
          <w:szCs w:val="40"/>
        </w:rPr>
        <w:t>月</w:t>
      </w:r>
    </w:p>
    <w:p w:rsidR="00E77C63" w:rsidRDefault="00E77C63">
      <w:pPr>
        <w:snapToGrid w:val="0"/>
        <w:jc w:val="center"/>
        <w:rPr>
          <w:rFonts w:ascii="楷体_GB2312" w:eastAsia="楷体_GB2312" w:hAnsi="楷体_GB2312" w:cs="楷体_GB2312"/>
          <w:color w:val="000000" w:themeColor="text1"/>
          <w:kern w:val="0"/>
          <w:sz w:val="40"/>
          <w:szCs w:val="40"/>
        </w:rPr>
      </w:pPr>
    </w:p>
    <w:p w:rsidR="00E77C63" w:rsidRDefault="00720BDD">
      <w:pPr>
        <w:jc w:val="center"/>
        <w:rPr>
          <w:rFonts w:ascii="黑体" w:eastAsia="黑体" w:hAnsi="黑体" w:cs="黑体"/>
          <w:sz w:val="72"/>
          <w:szCs w:val="96"/>
        </w:rPr>
      </w:pPr>
      <w:r>
        <w:rPr>
          <w:rFonts w:ascii="黑体" w:eastAsia="黑体" w:hAnsi="黑体" w:cs="黑体" w:hint="eastAsia"/>
          <w:sz w:val="72"/>
          <w:szCs w:val="96"/>
        </w:rPr>
        <w:lastRenderedPageBreak/>
        <w:t>张家口市第四医院</w:t>
      </w:r>
    </w:p>
    <w:p w:rsidR="00E77C63" w:rsidRDefault="00720BDD">
      <w:pPr>
        <w:rPr>
          <w:rFonts w:ascii="黑体" w:eastAsia="黑体" w:hAnsi="黑体" w:cs="黑体"/>
          <w:sz w:val="72"/>
          <w:szCs w:val="96"/>
        </w:rPr>
      </w:pPr>
      <w:r>
        <w:rPr>
          <w:rFonts w:ascii="黑体" w:eastAsia="黑体" w:hAnsi="黑体" w:cs="黑体" w:hint="eastAsia"/>
          <w:sz w:val="72"/>
          <w:szCs w:val="96"/>
        </w:rPr>
        <w:t>2020</w:t>
      </w:r>
      <w:r>
        <w:rPr>
          <w:rFonts w:ascii="黑体" w:eastAsia="黑体" w:hAnsi="黑体" w:cs="黑体" w:hint="eastAsia"/>
          <w:sz w:val="72"/>
          <w:szCs w:val="96"/>
        </w:rPr>
        <w:t>年度部门决算公开文本</w:t>
      </w:r>
    </w:p>
    <w:p w:rsidR="00E77C63" w:rsidRDefault="00E77C63">
      <w:pPr>
        <w:spacing w:line="360" w:lineRule="auto"/>
        <w:jc w:val="center"/>
        <w:rPr>
          <w:rFonts w:ascii="黑体" w:eastAsia="黑体" w:hAnsi="黑体" w:cs="黑体"/>
          <w:sz w:val="56"/>
          <w:szCs w:val="72"/>
        </w:rPr>
      </w:pPr>
    </w:p>
    <w:p w:rsidR="00E77C63" w:rsidRDefault="00E77C63">
      <w:pPr>
        <w:spacing w:line="600" w:lineRule="auto"/>
        <w:jc w:val="center"/>
        <w:rPr>
          <w:rFonts w:ascii="黑体" w:eastAsia="黑体" w:hAnsi="黑体" w:cs="黑体"/>
          <w:sz w:val="56"/>
          <w:szCs w:val="72"/>
        </w:rPr>
      </w:pPr>
    </w:p>
    <w:p w:rsidR="00E77C63" w:rsidRDefault="00E77C63">
      <w:pPr>
        <w:spacing w:line="600" w:lineRule="auto"/>
        <w:jc w:val="center"/>
        <w:rPr>
          <w:rFonts w:ascii="黑体" w:eastAsia="黑体" w:hAnsi="黑体" w:cs="黑体"/>
          <w:sz w:val="56"/>
          <w:szCs w:val="72"/>
        </w:rPr>
      </w:pPr>
    </w:p>
    <w:p w:rsidR="00E77C63" w:rsidRDefault="00E77C63">
      <w:pPr>
        <w:spacing w:line="600" w:lineRule="auto"/>
        <w:jc w:val="center"/>
        <w:rPr>
          <w:rFonts w:ascii="黑体" w:eastAsia="黑体" w:hAnsi="黑体" w:cs="黑体"/>
          <w:sz w:val="56"/>
          <w:szCs w:val="72"/>
        </w:rPr>
      </w:pPr>
    </w:p>
    <w:p w:rsidR="00E77C63" w:rsidRDefault="00E77C63">
      <w:pPr>
        <w:spacing w:line="600" w:lineRule="auto"/>
        <w:jc w:val="center"/>
        <w:rPr>
          <w:rFonts w:ascii="黑体" w:eastAsia="黑体" w:hAnsi="黑体" w:cs="黑体"/>
          <w:sz w:val="56"/>
          <w:szCs w:val="72"/>
        </w:rPr>
      </w:pPr>
    </w:p>
    <w:p w:rsidR="00E77C63" w:rsidRDefault="00E77C63">
      <w:pPr>
        <w:spacing w:line="480" w:lineRule="auto"/>
        <w:jc w:val="center"/>
        <w:rPr>
          <w:rFonts w:ascii="黑体" w:eastAsia="黑体" w:hAnsi="黑体" w:cs="黑体"/>
          <w:sz w:val="56"/>
          <w:szCs w:val="72"/>
        </w:rPr>
      </w:pPr>
    </w:p>
    <w:p w:rsidR="00E77C63" w:rsidRDefault="00E77C63">
      <w:pPr>
        <w:spacing w:line="480" w:lineRule="auto"/>
        <w:jc w:val="center"/>
        <w:rPr>
          <w:rFonts w:ascii="黑体" w:eastAsia="黑体" w:hAnsi="黑体" w:cs="黑体"/>
          <w:sz w:val="56"/>
          <w:szCs w:val="72"/>
        </w:rPr>
      </w:pPr>
    </w:p>
    <w:p w:rsidR="00E77C63" w:rsidRDefault="00E77C63">
      <w:pPr>
        <w:spacing w:line="480" w:lineRule="auto"/>
        <w:jc w:val="center"/>
        <w:rPr>
          <w:rFonts w:ascii="黑体" w:eastAsia="黑体" w:hAnsi="黑体" w:cs="黑体"/>
          <w:sz w:val="56"/>
          <w:szCs w:val="72"/>
        </w:rPr>
      </w:pPr>
    </w:p>
    <w:p w:rsidR="00E77C63" w:rsidRDefault="00E77C63">
      <w:pPr>
        <w:snapToGrid w:val="0"/>
        <w:jc w:val="center"/>
        <w:rPr>
          <w:rFonts w:ascii="楷体_GB2312" w:eastAsia="楷体_GB2312" w:hAnsi="楷体_GB2312" w:cs="楷体_GB2312"/>
          <w:color w:val="000000" w:themeColor="text1"/>
          <w:kern w:val="0"/>
          <w:sz w:val="40"/>
          <w:szCs w:val="40"/>
        </w:rPr>
      </w:pPr>
    </w:p>
    <w:p w:rsidR="00E77C63" w:rsidRDefault="00E77C63">
      <w:pPr>
        <w:snapToGrid w:val="0"/>
        <w:jc w:val="center"/>
        <w:rPr>
          <w:rFonts w:ascii="楷体_GB2312" w:eastAsia="楷体_GB2312" w:hAnsi="楷体_GB2312" w:cs="楷体_GB2312"/>
          <w:color w:val="000000" w:themeColor="text1"/>
          <w:kern w:val="0"/>
          <w:sz w:val="40"/>
          <w:szCs w:val="40"/>
        </w:rPr>
      </w:pPr>
    </w:p>
    <w:p w:rsidR="00E77C63" w:rsidRDefault="00E77C63">
      <w:pPr>
        <w:snapToGrid w:val="0"/>
        <w:jc w:val="center"/>
        <w:rPr>
          <w:rFonts w:ascii="楷体_GB2312" w:eastAsia="楷体_GB2312" w:hAnsi="楷体_GB2312" w:cs="楷体_GB2312"/>
          <w:color w:val="000000" w:themeColor="text1"/>
          <w:kern w:val="0"/>
          <w:sz w:val="40"/>
          <w:szCs w:val="40"/>
        </w:rPr>
      </w:pPr>
    </w:p>
    <w:p w:rsidR="00E77C63" w:rsidRDefault="00720BDD">
      <w:pPr>
        <w:snapToGrid w:val="0"/>
        <w:jc w:val="center"/>
        <w:rPr>
          <w:rFonts w:ascii="楷体_GB2312" w:eastAsia="楷体_GB2312" w:hAnsi="楷体_GB2312" w:cs="楷体_GB2312"/>
          <w:color w:val="000000" w:themeColor="text1"/>
          <w:kern w:val="0"/>
          <w:sz w:val="40"/>
          <w:szCs w:val="40"/>
        </w:rPr>
        <w:sectPr w:rsidR="00E77C63">
          <w:pgSz w:w="11906" w:h="16838"/>
          <w:pgMar w:top="2098" w:right="1531" w:bottom="1984" w:left="1531" w:header="851" w:footer="992" w:gutter="0"/>
          <w:cols w:space="0"/>
          <w:titlePg/>
          <w:docGrid w:type="lines" w:linePitch="312"/>
        </w:sectPr>
      </w:pPr>
      <w:r>
        <w:rPr>
          <w:rFonts w:ascii="楷体_GB2312" w:eastAsia="楷体_GB2312" w:hAnsi="楷体_GB2312" w:cs="楷体_GB2312" w:hint="eastAsia"/>
          <w:color w:val="000000" w:themeColor="text1"/>
          <w:kern w:val="0"/>
          <w:sz w:val="40"/>
          <w:szCs w:val="40"/>
        </w:rPr>
        <w:t>二〇二一年</w:t>
      </w:r>
      <w:r>
        <w:rPr>
          <w:rFonts w:ascii="楷体_GB2312" w:eastAsia="楷体_GB2312" w:hAnsi="楷体_GB2312" w:cs="楷体_GB2312" w:hint="eastAsia"/>
          <w:color w:val="000000" w:themeColor="text1"/>
          <w:kern w:val="0"/>
          <w:sz w:val="40"/>
          <w:szCs w:val="40"/>
        </w:rPr>
        <w:t>十一</w:t>
      </w:r>
      <w:r>
        <w:rPr>
          <w:rFonts w:ascii="楷体_GB2312" w:eastAsia="楷体_GB2312" w:hAnsi="楷体_GB2312" w:cs="楷体_GB2312" w:hint="eastAsia"/>
          <w:color w:val="000000" w:themeColor="text1"/>
          <w:kern w:val="0"/>
          <w:sz w:val="40"/>
          <w:szCs w:val="40"/>
        </w:rPr>
        <w:t>月</w:t>
      </w:r>
    </w:p>
    <w:p w:rsidR="00E77C63" w:rsidRDefault="00E77C63">
      <w:pPr>
        <w:tabs>
          <w:tab w:val="left" w:pos="2728"/>
        </w:tabs>
        <w:jc w:val="center"/>
        <w:rPr>
          <w:rFonts w:ascii="黑体" w:eastAsia="黑体" w:hAnsi="Times New Roman" w:cs="Times New Roman"/>
          <w:sz w:val="48"/>
          <w:szCs w:val="48"/>
        </w:rPr>
      </w:pPr>
    </w:p>
    <w:p w:rsidR="00E77C63" w:rsidRDefault="00720BDD">
      <w:pPr>
        <w:tabs>
          <w:tab w:val="left" w:pos="2728"/>
        </w:tabs>
        <w:jc w:val="center"/>
        <w:rPr>
          <w:rFonts w:ascii="黑体" w:eastAsia="黑体" w:hAnsi="Times New Roman" w:cs="Times New Roman"/>
          <w:sz w:val="48"/>
          <w:szCs w:val="48"/>
        </w:rPr>
      </w:pPr>
      <w:r>
        <w:rPr>
          <w:rFonts w:ascii="黑体" w:eastAsia="黑体" w:hAnsi="Times New Roman" w:cs="Times New Roman" w:hint="eastAsia"/>
          <w:sz w:val="48"/>
          <w:szCs w:val="48"/>
        </w:rPr>
        <w:t>目</w:t>
      </w:r>
      <w:r>
        <w:rPr>
          <w:rFonts w:ascii="黑体" w:eastAsia="黑体" w:hAnsi="Times New Roman" w:cs="Times New Roman" w:hint="eastAsia"/>
          <w:sz w:val="48"/>
          <w:szCs w:val="48"/>
        </w:rPr>
        <w:t xml:space="preserve">    </w:t>
      </w:r>
      <w:r>
        <w:rPr>
          <w:rFonts w:ascii="黑体" w:eastAsia="黑体" w:hAnsi="Times New Roman" w:cs="Times New Roman" w:hint="eastAsia"/>
          <w:sz w:val="48"/>
          <w:szCs w:val="48"/>
        </w:rPr>
        <w:t>录</w:t>
      </w:r>
    </w:p>
    <w:p w:rsidR="00E77C63" w:rsidRDefault="00E77C63">
      <w:pPr>
        <w:widowControl/>
        <w:spacing w:after="160" w:line="580" w:lineRule="exact"/>
        <w:ind w:firstLineChars="200" w:firstLine="640"/>
        <w:rPr>
          <w:rFonts w:ascii="Times New Roman" w:eastAsia="黑体" w:hAnsi="Times New Roman" w:cs="Times New Roman"/>
          <w:sz w:val="32"/>
          <w:szCs w:val="32"/>
        </w:rPr>
      </w:pPr>
    </w:p>
    <w:p w:rsidR="00E77C63" w:rsidRDefault="00720BDD">
      <w:pPr>
        <w:widowControl/>
        <w:spacing w:line="64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rsidR="00E77C63" w:rsidRDefault="00720BDD" w:rsidP="00765B29">
      <w:pPr>
        <w:widowControl/>
        <w:spacing w:line="64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E77C63" w:rsidRDefault="00720BDD" w:rsidP="00765B29">
      <w:pPr>
        <w:widowControl/>
        <w:spacing w:line="64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E77C63" w:rsidRDefault="00720BDD">
      <w:pPr>
        <w:widowControl/>
        <w:spacing w:line="64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sz w:val="32"/>
          <w:szCs w:val="32"/>
        </w:rPr>
        <w:t>20</w:t>
      </w:r>
      <w:r>
        <w:rPr>
          <w:rFonts w:ascii="Times New Roman" w:eastAsia="黑体" w:hAnsi="Times New Roman" w:cs="Times New Roman" w:hint="eastAsia"/>
          <w:sz w:val="32"/>
          <w:szCs w:val="32"/>
        </w:rPr>
        <w:t>20</w:t>
      </w:r>
      <w:r>
        <w:rPr>
          <w:rFonts w:ascii="Times New Roman" w:eastAsia="黑体" w:hAnsi="Times New Roman" w:cs="Times New Roman"/>
          <w:sz w:val="32"/>
          <w:szCs w:val="32"/>
        </w:rPr>
        <w:t>年部门决算情况说明</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一、收入支出决算总体情况说明</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二、收入决算情况说明</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三、支出决算情况说明</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四、财政拨款收入支出决算总体情况说明</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六、预算绩效情况说明</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七、机关运行经费情况</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八、政府采购情况</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九、国有资产占用情况</w:t>
      </w:r>
    </w:p>
    <w:p w:rsidR="00E77C63" w:rsidRDefault="00720BDD" w:rsidP="00765B29">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rsidR="00E77C63" w:rsidRDefault="00720BDD">
      <w:pPr>
        <w:widowControl/>
        <w:spacing w:line="64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名词解释</w:t>
      </w:r>
    </w:p>
    <w:p w:rsidR="00E77C63" w:rsidRDefault="00720BDD">
      <w:pPr>
        <w:widowControl/>
        <w:spacing w:line="64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sz w:val="32"/>
          <w:szCs w:val="32"/>
        </w:rPr>
        <w:t xml:space="preserve"> 20</w:t>
      </w:r>
      <w:r>
        <w:rPr>
          <w:rFonts w:ascii="Times New Roman" w:eastAsia="黑体" w:hAnsi="Times New Roman" w:cs="Times New Roman" w:hint="eastAsia"/>
          <w:sz w:val="32"/>
          <w:szCs w:val="32"/>
        </w:rPr>
        <w:t>20</w:t>
      </w:r>
      <w:r>
        <w:rPr>
          <w:rFonts w:ascii="Times New Roman" w:eastAsia="黑体" w:hAnsi="Times New Roman" w:cs="Times New Roman"/>
          <w:sz w:val="32"/>
          <w:szCs w:val="32"/>
        </w:rPr>
        <w:t>年度部门决算报表</w:t>
      </w:r>
    </w:p>
    <w:p w:rsidR="00E77C63" w:rsidRDefault="00E77C63">
      <w:pPr>
        <w:widowControl/>
        <w:spacing w:after="160" w:line="580" w:lineRule="exact"/>
        <w:ind w:firstLineChars="200" w:firstLine="640"/>
        <w:rPr>
          <w:rFonts w:ascii="Times New Roman" w:eastAsia="黑体" w:hAnsi="Times New Roman" w:cs="Times New Roman"/>
          <w:sz w:val="32"/>
          <w:szCs w:val="32"/>
        </w:rPr>
        <w:sectPr w:rsidR="00E77C63">
          <w:headerReference w:type="default" r:id="rId9"/>
          <w:footerReference w:type="default" r:id="rId10"/>
          <w:headerReference w:type="first" r:id="rId11"/>
          <w:footerReference w:type="first" r:id="rId12"/>
          <w:type w:val="continuous"/>
          <w:pgSz w:w="11906" w:h="16838"/>
          <w:pgMar w:top="2098" w:right="1531" w:bottom="1984" w:left="1531" w:header="851" w:footer="992" w:gutter="0"/>
          <w:cols w:space="0"/>
          <w:titlePg/>
          <w:docGrid w:type="lines" w:linePitch="312"/>
        </w:sectPr>
      </w:pPr>
    </w:p>
    <w:p w:rsidR="00E77C63" w:rsidRDefault="00E77C63">
      <w:pPr>
        <w:widowControl/>
        <w:spacing w:line="580" w:lineRule="exact"/>
        <w:ind w:firstLineChars="200" w:firstLine="640"/>
        <w:rPr>
          <w:rFonts w:eastAsia="黑体"/>
          <w:sz w:val="32"/>
          <w:szCs w:val="32"/>
        </w:rPr>
      </w:pPr>
    </w:p>
    <w:p w:rsidR="00E77C63" w:rsidRDefault="00E77C63">
      <w:pPr>
        <w:widowControl/>
        <w:spacing w:line="580" w:lineRule="exact"/>
        <w:ind w:firstLineChars="200" w:firstLine="640"/>
        <w:rPr>
          <w:rFonts w:eastAsia="黑体"/>
          <w:sz w:val="32"/>
          <w:szCs w:val="32"/>
        </w:rPr>
      </w:pPr>
    </w:p>
    <w:p w:rsidR="00E77C63" w:rsidRDefault="00E77C63">
      <w:pPr>
        <w:widowControl/>
        <w:spacing w:line="580" w:lineRule="exact"/>
        <w:ind w:firstLineChars="200" w:firstLine="640"/>
        <w:rPr>
          <w:rFonts w:eastAsia="黑体"/>
          <w:sz w:val="32"/>
          <w:szCs w:val="32"/>
        </w:rPr>
      </w:pPr>
    </w:p>
    <w:p w:rsidR="00E77C63" w:rsidRDefault="00E77C63">
      <w:r w:rsidRPr="00E77C63">
        <w:rPr>
          <w:sz w:val="72"/>
        </w:rPr>
        <w:pict>
          <v:shapetype id="_x0000_t202" coordsize="21600,21600" o:spt="202" path="m,l,21600r21600,l21600,xe">
            <v:stroke joinstyle="miter"/>
            <v:path gradientshapeok="t" o:connecttype="rect"/>
          </v:shapetype>
          <v:shape id="_x0000_s1026" type="#_x0000_t202" style="position:absolute;left:0;text-align:left;margin-left:-85.7pt;margin-top:80.7pt;width:613.65pt;height:263.1pt;z-index:251660288;v-text-anchor:middle"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fillcolor="#7f7f7f [1612]" strokecolor="#a6a6a6" strokeweight="1pt">
            <v:fill r:id="rId13" o:title="5%" color2="white [3212]" type="pattern"/>
            <v:stroke joinstyle="round"/>
            <v:textbox>
              <w:txbxContent>
                <w:p w:rsidR="00E77C63" w:rsidRDefault="00720BDD">
                  <w:pPr>
                    <w:widowControl/>
                    <w:jc w:val="center"/>
                    <w:rPr>
                      <w:rFonts w:ascii="黑体" w:eastAsia="黑体" w:hAnsi="黑体" w:cs="黑体"/>
                      <w:color w:val="000000" w:themeColor="text1"/>
                      <w:sz w:val="96"/>
                      <w:szCs w:val="96"/>
                    </w:rPr>
                  </w:pPr>
                  <w:r>
                    <w:rPr>
                      <w:rFonts w:ascii="黑体" w:eastAsia="黑体" w:hAnsi="黑体" w:cs="黑体" w:hint="eastAsia"/>
                      <w:color w:val="000000" w:themeColor="text1"/>
                      <w:sz w:val="96"/>
                      <w:szCs w:val="96"/>
                    </w:rPr>
                    <w:t>第一部分</w:t>
                  </w:r>
                  <w:r>
                    <w:rPr>
                      <w:rFonts w:ascii="黑体" w:eastAsia="黑体" w:hAnsi="黑体" w:cs="黑体" w:hint="eastAsia"/>
                      <w:color w:val="000000" w:themeColor="text1"/>
                      <w:sz w:val="96"/>
                      <w:szCs w:val="96"/>
                    </w:rPr>
                    <w:t xml:space="preserve">  </w:t>
                  </w:r>
                  <w:r>
                    <w:rPr>
                      <w:rFonts w:ascii="黑体" w:eastAsia="黑体" w:hAnsi="黑体" w:cs="黑体" w:hint="eastAsia"/>
                      <w:color w:val="000000" w:themeColor="text1"/>
                      <w:sz w:val="96"/>
                      <w:szCs w:val="96"/>
                    </w:rPr>
                    <w:t>部门概况</w:t>
                  </w:r>
                </w:p>
              </w:txbxContent>
            </v:textbox>
          </v:shape>
        </w:pict>
      </w:r>
      <w:r w:rsidR="00720BDD">
        <w:br w:type="page"/>
      </w:r>
    </w:p>
    <w:p w:rsidR="00E77C63" w:rsidRDefault="00720BDD">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rsidR="00E77C63" w:rsidRDefault="00720BDD">
      <w:pPr>
        <w:widowControl/>
        <w:spacing w:line="580" w:lineRule="exact"/>
        <w:ind w:firstLineChars="200" w:firstLine="640"/>
        <w:rPr>
          <w:rFonts w:ascii="仿宋_GB2312" w:eastAsia="仿宋_GB2312" w:hAnsi="Calibri" w:cs="Arial Black"/>
          <w:kern w:val="0"/>
          <w:sz w:val="32"/>
          <w:szCs w:val="32"/>
        </w:rPr>
      </w:pPr>
      <w:r>
        <w:rPr>
          <w:rFonts w:ascii="仿宋_GB2312" w:eastAsia="仿宋_GB2312" w:cs="Arial Black" w:hint="eastAsia"/>
          <w:kern w:val="0"/>
          <w:sz w:val="32"/>
          <w:szCs w:val="32"/>
        </w:rPr>
        <w:t>张家口</w:t>
      </w:r>
      <w:r>
        <w:rPr>
          <w:rFonts w:ascii="仿宋_GB2312" w:eastAsia="仿宋_GB2312" w:cs="Arial Black" w:hint="eastAsia"/>
          <w:kern w:val="0"/>
          <w:sz w:val="32"/>
          <w:szCs w:val="32"/>
        </w:rPr>
        <w:t>市第四医院</w:t>
      </w:r>
      <w:r>
        <w:rPr>
          <w:rFonts w:ascii="仿宋_GB2312" w:eastAsia="仿宋_GB2312" w:cs="Arial Black" w:hint="eastAsia"/>
          <w:kern w:val="0"/>
          <w:sz w:val="32"/>
          <w:szCs w:val="32"/>
        </w:rPr>
        <w:t>主要负责</w:t>
      </w:r>
      <w:r>
        <w:rPr>
          <w:rFonts w:ascii="仿宋_GB2312" w:eastAsia="仿宋_GB2312" w:cs="Arial Black" w:hint="eastAsia"/>
          <w:kern w:val="0"/>
          <w:sz w:val="32"/>
          <w:szCs w:val="32"/>
        </w:rPr>
        <w:t>以眼</w:t>
      </w:r>
      <w:r>
        <w:rPr>
          <w:rFonts w:ascii="仿宋_GB2312" w:eastAsia="仿宋_GB2312" w:cs="Arial Black" w:hint="eastAsia"/>
          <w:kern w:val="0"/>
          <w:sz w:val="32"/>
          <w:szCs w:val="32"/>
        </w:rPr>
        <w:t>病为主、</w:t>
      </w:r>
      <w:r>
        <w:rPr>
          <w:rFonts w:ascii="仿宋_GB2312" w:eastAsia="仿宋_GB2312" w:cs="Arial Black" w:hint="eastAsia"/>
          <w:kern w:val="0"/>
          <w:sz w:val="32"/>
          <w:szCs w:val="32"/>
        </w:rPr>
        <w:t>耳鼻喉等为辅的预防、诊疗工作。</w:t>
      </w:r>
    </w:p>
    <w:p w:rsidR="00E77C63" w:rsidRDefault="00720BDD">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rsidR="00E77C63" w:rsidRDefault="00720BDD">
      <w:pPr>
        <w:spacing w:line="580" w:lineRule="exact"/>
        <w:ind w:firstLineChars="200" w:firstLine="640"/>
        <w:rPr>
          <w:rFonts w:ascii="仿宋_GB2312" w:eastAsia="仿宋_GB2312" w:hAnsi="Calibri" w:cs="Arial Black"/>
          <w:kern w:val="0"/>
          <w:sz w:val="32"/>
          <w:szCs w:val="32"/>
        </w:rPr>
      </w:pPr>
      <w:r>
        <w:rPr>
          <w:rFonts w:ascii="仿宋_GB2312" w:eastAsia="仿宋_GB2312" w:hAnsi="Calibri" w:cs="Arial Black" w:hint="eastAsia"/>
          <w:kern w:val="0"/>
          <w:sz w:val="32"/>
          <w:szCs w:val="32"/>
        </w:rPr>
        <w:t>医院共设</w:t>
      </w:r>
      <w:r>
        <w:rPr>
          <w:rFonts w:ascii="仿宋_GB2312" w:eastAsia="仿宋_GB2312" w:hAnsi="Calibri" w:cs="Arial Black" w:hint="eastAsia"/>
          <w:kern w:val="0"/>
          <w:sz w:val="32"/>
          <w:szCs w:val="32"/>
        </w:rPr>
        <w:t>43</w:t>
      </w:r>
      <w:r>
        <w:rPr>
          <w:rFonts w:ascii="仿宋_GB2312" w:eastAsia="仿宋_GB2312" w:hAnsi="Calibri" w:cs="Arial Black" w:hint="eastAsia"/>
          <w:kern w:val="0"/>
          <w:sz w:val="32"/>
          <w:szCs w:val="32"/>
        </w:rPr>
        <w:t>个科室（市卫</w:t>
      </w:r>
      <w:r>
        <w:rPr>
          <w:rFonts w:ascii="仿宋_GB2312" w:eastAsia="仿宋_GB2312" w:hAnsi="Calibri" w:cs="Arial Black" w:hint="eastAsia"/>
          <w:kern w:val="0"/>
          <w:sz w:val="32"/>
          <w:szCs w:val="32"/>
        </w:rPr>
        <w:t>健</w:t>
      </w:r>
      <w:r>
        <w:rPr>
          <w:rFonts w:ascii="仿宋_GB2312" w:eastAsia="仿宋_GB2312" w:hAnsi="Calibri" w:cs="Arial Black" w:hint="eastAsia"/>
          <w:kern w:val="0"/>
          <w:sz w:val="32"/>
          <w:szCs w:val="32"/>
        </w:rPr>
        <w:t>委审批）：</w:t>
      </w:r>
    </w:p>
    <w:p w:rsidR="00E77C63" w:rsidRDefault="00720BDD">
      <w:pPr>
        <w:spacing w:line="580" w:lineRule="exact"/>
        <w:ind w:firstLineChars="200" w:firstLine="640"/>
        <w:rPr>
          <w:rFonts w:ascii="仿宋_GB2312" w:eastAsia="仿宋_GB2312" w:hAnsi="Calibri" w:cs="Arial Black"/>
          <w:kern w:val="0"/>
          <w:sz w:val="32"/>
          <w:szCs w:val="32"/>
        </w:rPr>
      </w:pPr>
      <w:r>
        <w:rPr>
          <w:rFonts w:ascii="仿宋_GB2312" w:eastAsia="仿宋_GB2312" w:hAnsi="Calibri" w:cs="Arial Black" w:hint="eastAsia"/>
          <w:kern w:val="0"/>
          <w:sz w:val="32"/>
          <w:szCs w:val="32"/>
        </w:rPr>
        <w:t>院长办公室、党委办公室、人事科、财务科、经济核算办公室、总务科、保卫科、信息科、医务科、护理部、公共卫生科、审计科、纪检监察室、医保办、器械科、功能科、门诊部、验光配镜科、整形科、内儿科、中医科、手麻科、放射科、检验科、体检科、药剂科、白内障科、眼底外科、眼底内科、眼外伤科、青光眼科、泪道与眼眶肿瘤科、角膜病科、斜视与小儿眼科、中西医结合眼科、耳科、鼻咽喉科、口腔科、</w:t>
      </w:r>
      <w:r>
        <w:rPr>
          <w:rFonts w:ascii="仿宋_GB2312" w:eastAsia="仿宋_GB2312" w:hAnsi="Calibri" w:cs="Arial Black" w:hint="eastAsia"/>
          <w:kern w:val="0"/>
          <w:sz w:val="32"/>
          <w:szCs w:val="32"/>
        </w:rPr>
        <w:t>B</w:t>
      </w:r>
      <w:r>
        <w:rPr>
          <w:rFonts w:ascii="仿宋_GB2312" w:eastAsia="仿宋_GB2312" w:hAnsi="Calibri" w:cs="Arial Black" w:hint="eastAsia"/>
          <w:kern w:val="0"/>
          <w:sz w:val="32"/>
          <w:szCs w:val="32"/>
        </w:rPr>
        <w:t>超室、外妇科、屈光手术科、头颈外科、院内感染办公室。</w:t>
      </w:r>
    </w:p>
    <w:p w:rsidR="00E77C63" w:rsidRDefault="00720BDD">
      <w:pPr>
        <w:spacing w:line="580" w:lineRule="exact"/>
        <w:ind w:firstLineChars="200" w:firstLine="640"/>
        <w:rPr>
          <w:rFonts w:ascii="仿宋_GB2312" w:eastAsia="仿宋_GB2312" w:hAnsi="Calibri" w:cs="Arial Black"/>
          <w:kern w:val="0"/>
          <w:sz w:val="32"/>
          <w:szCs w:val="32"/>
        </w:rPr>
      </w:pPr>
      <w:r>
        <w:rPr>
          <w:rFonts w:ascii="仿宋_GB2312" w:eastAsia="仿宋_GB2312" w:hAnsi="Calibri" w:cs="Arial Black" w:hint="eastAsia"/>
          <w:kern w:val="0"/>
          <w:sz w:val="32"/>
          <w:szCs w:val="32"/>
        </w:rPr>
        <w:t>从决算编报单位构成看，纳入</w:t>
      </w:r>
      <w:r>
        <w:rPr>
          <w:rFonts w:ascii="仿宋_GB2312" w:eastAsia="仿宋_GB2312" w:hAnsi="Calibri" w:cs="Arial Black" w:hint="eastAsia"/>
          <w:kern w:val="0"/>
          <w:sz w:val="32"/>
          <w:szCs w:val="32"/>
        </w:rPr>
        <w:t>20</w:t>
      </w:r>
      <w:r>
        <w:rPr>
          <w:rFonts w:ascii="仿宋_GB2312" w:eastAsia="仿宋_GB2312" w:hAnsi="Calibri" w:cs="Arial Black"/>
          <w:kern w:val="0"/>
          <w:sz w:val="32"/>
          <w:szCs w:val="32"/>
        </w:rPr>
        <w:t>20</w:t>
      </w:r>
      <w:r>
        <w:rPr>
          <w:rFonts w:ascii="仿宋_GB2312" w:eastAsia="仿宋_GB2312" w:hAnsi="Calibri" w:cs="Arial Black" w:hint="eastAsia"/>
          <w:kern w:val="0"/>
          <w:sz w:val="32"/>
          <w:szCs w:val="32"/>
        </w:rPr>
        <w:t>年度本部门决算汇编范围的独</w:t>
      </w:r>
      <w:r>
        <w:rPr>
          <w:rFonts w:ascii="仿宋_GB2312" w:eastAsia="仿宋_GB2312" w:hAnsi="Calibri" w:cs="Arial Black" w:hint="eastAsia"/>
          <w:kern w:val="0"/>
          <w:sz w:val="32"/>
          <w:szCs w:val="32"/>
        </w:rPr>
        <w:t>立核算单位（以下简称“单位”）共</w:t>
      </w:r>
      <w:r>
        <w:rPr>
          <w:rFonts w:ascii="仿宋_GB2312" w:eastAsia="仿宋_GB2312" w:hAnsi="Calibri" w:cs="Arial Black" w:hint="eastAsia"/>
          <w:kern w:val="0"/>
          <w:sz w:val="32"/>
          <w:szCs w:val="32"/>
        </w:rPr>
        <w:t xml:space="preserve">  </w:t>
      </w:r>
      <w:r>
        <w:rPr>
          <w:rFonts w:ascii="仿宋_GB2312" w:eastAsia="仿宋_GB2312" w:hAnsi="Calibri" w:cs="Arial Black" w:hint="eastAsia"/>
          <w:kern w:val="0"/>
          <w:sz w:val="32"/>
          <w:szCs w:val="32"/>
        </w:rPr>
        <w:t>1</w:t>
      </w:r>
      <w:r>
        <w:rPr>
          <w:rFonts w:ascii="仿宋_GB2312" w:eastAsia="仿宋_GB2312" w:hAnsi="Calibri" w:cs="Arial Black" w:hint="eastAsia"/>
          <w:kern w:val="0"/>
          <w:sz w:val="32"/>
          <w:szCs w:val="32"/>
        </w:rPr>
        <w:t>个，具体情况如下：</w:t>
      </w:r>
    </w:p>
    <w:tbl>
      <w:tblPr>
        <w:tblStyle w:val="a5"/>
        <w:tblpPr w:leftFromText="180" w:rightFromText="180" w:vertAnchor="text" w:horzAnchor="page" w:tblpXSpec="center" w:tblpY="10"/>
        <w:tblOverlap w:val="never"/>
        <w:tblW w:w="94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3426"/>
        <w:gridCol w:w="2404"/>
        <w:gridCol w:w="2622"/>
      </w:tblGrid>
      <w:tr w:rsidR="00E77C63">
        <w:trPr>
          <w:trHeight w:val="873"/>
          <w:jc w:val="center"/>
        </w:trPr>
        <w:tc>
          <w:tcPr>
            <w:tcW w:w="968" w:type="dxa"/>
            <w:vAlign w:val="center"/>
          </w:tcPr>
          <w:p w:rsidR="00E77C63" w:rsidRDefault="00720BDD">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序号</w:t>
            </w:r>
          </w:p>
        </w:tc>
        <w:tc>
          <w:tcPr>
            <w:tcW w:w="3426" w:type="dxa"/>
            <w:vAlign w:val="center"/>
          </w:tcPr>
          <w:p w:rsidR="00E77C63" w:rsidRDefault="00720BDD">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单位名称</w:t>
            </w:r>
          </w:p>
        </w:tc>
        <w:tc>
          <w:tcPr>
            <w:tcW w:w="2404" w:type="dxa"/>
            <w:vAlign w:val="center"/>
          </w:tcPr>
          <w:p w:rsidR="00E77C63" w:rsidRDefault="00720BDD">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单位基本性质</w:t>
            </w:r>
          </w:p>
        </w:tc>
        <w:tc>
          <w:tcPr>
            <w:tcW w:w="2622" w:type="dxa"/>
            <w:vAlign w:val="center"/>
          </w:tcPr>
          <w:p w:rsidR="00E77C63" w:rsidRDefault="00720BDD">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经费形式</w:t>
            </w:r>
          </w:p>
        </w:tc>
      </w:tr>
      <w:tr w:rsidR="00E77C63">
        <w:trPr>
          <w:trHeight w:val="641"/>
          <w:jc w:val="center"/>
        </w:trPr>
        <w:tc>
          <w:tcPr>
            <w:tcW w:w="968" w:type="dxa"/>
          </w:tcPr>
          <w:p w:rsidR="00E77C63" w:rsidRDefault="00720BDD">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1</w:t>
            </w:r>
          </w:p>
        </w:tc>
        <w:tc>
          <w:tcPr>
            <w:tcW w:w="3426" w:type="dxa"/>
          </w:tcPr>
          <w:p w:rsidR="00E77C63" w:rsidRDefault="00720BDD">
            <w:pPr>
              <w:spacing w:line="560" w:lineRule="exact"/>
              <w:rPr>
                <w:rFonts w:ascii="仿宋_GB2312" w:eastAsia="仿宋_GB2312" w:hAnsi="Calibri" w:cs="Arial Black"/>
                <w:kern w:val="0"/>
                <w:sz w:val="28"/>
                <w:szCs w:val="28"/>
              </w:rPr>
            </w:pPr>
            <w:r>
              <w:rPr>
                <w:rFonts w:ascii="仿宋_GB2312" w:eastAsia="仿宋_GB2312" w:hAnsi="Calibri" w:cs="Arial Black" w:hint="eastAsia"/>
                <w:kern w:val="0"/>
                <w:sz w:val="28"/>
                <w:szCs w:val="28"/>
              </w:rPr>
              <w:t>张家口市第四医院</w:t>
            </w:r>
          </w:p>
        </w:tc>
        <w:tc>
          <w:tcPr>
            <w:tcW w:w="2404" w:type="dxa"/>
          </w:tcPr>
          <w:p w:rsidR="00E77C63" w:rsidRDefault="00720BDD">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财政补助事业单位</w:t>
            </w:r>
          </w:p>
        </w:tc>
        <w:tc>
          <w:tcPr>
            <w:tcW w:w="2622" w:type="dxa"/>
          </w:tcPr>
          <w:p w:rsidR="00E77C63" w:rsidRDefault="00720BDD">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财政性资金定额或定向补助</w:t>
            </w:r>
          </w:p>
        </w:tc>
      </w:tr>
      <w:tr w:rsidR="00E77C63">
        <w:trPr>
          <w:trHeight w:val="652"/>
          <w:jc w:val="center"/>
        </w:trPr>
        <w:tc>
          <w:tcPr>
            <w:tcW w:w="9420" w:type="dxa"/>
            <w:gridSpan w:val="4"/>
            <w:tcBorders>
              <w:top w:val="single" w:sz="4" w:space="0" w:color="auto"/>
              <w:left w:val="nil"/>
              <w:bottom w:val="nil"/>
              <w:right w:val="nil"/>
            </w:tcBorders>
          </w:tcPr>
          <w:p w:rsidR="00E77C63" w:rsidRDefault="00720BDD">
            <w:pPr>
              <w:spacing w:line="560" w:lineRule="exact"/>
              <w:jc w:val="left"/>
              <w:rPr>
                <w:rFonts w:ascii="仿宋_GB2312" w:eastAsia="仿宋_GB2312" w:hAnsi="Calibri" w:cs="Arial Black"/>
                <w:kern w:val="0"/>
                <w:sz w:val="28"/>
                <w:szCs w:val="28"/>
              </w:rPr>
            </w:pPr>
            <w:r>
              <w:rPr>
                <w:rFonts w:ascii="仿宋_GB2312" w:eastAsia="仿宋_GB2312" w:hAnsi="Calibri" w:cs="Arial Black" w:hint="eastAsia"/>
                <w:kern w:val="0"/>
                <w:sz w:val="28"/>
                <w:szCs w:val="28"/>
              </w:rPr>
              <w:t>注：</w:t>
            </w:r>
            <w:r>
              <w:rPr>
                <w:rFonts w:ascii="仿宋_GB2312" w:eastAsia="仿宋_GB2312" w:hAnsi="Calibri" w:cs="Arial Black" w:hint="eastAsia"/>
                <w:kern w:val="0"/>
                <w:sz w:val="28"/>
                <w:szCs w:val="28"/>
              </w:rPr>
              <w:t>1</w:t>
            </w:r>
            <w:r>
              <w:rPr>
                <w:rFonts w:ascii="仿宋_GB2312" w:eastAsia="仿宋_GB2312" w:hAnsi="Calibri" w:cs="Arial Black" w:hint="eastAsia"/>
                <w:kern w:val="0"/>
                <w:sz w:val="28"/>
                <w:szCs w:val="28"/>
              </w:rPr>
              <w:t>、单位基本性质分为行政单位、参公事业单位、财政补助事业单位、经费自理事业单位四类。</w:t>
            </w:r>
          </w:p>
          <w:p w:rsidR="00E77C63" w:rsidRDefault="00720BDD">
            <w:pPr>
              <w:spacing w:line="560" w:lineRule="exact"/>
              <w:ind w:firstLineChars="200" w:firstLine="560"/>
              <w:jc w:val="left"/>
              <w:rPr>
                <w:rFonts w:ascii="仿宋_GB2312" w:eastAsia="仿宋_GB2312" w:hAnsi="Calibri" w:cs="Arial Black"/>
                <w:kern w:val="0"/>
                <w:sz w:val="28"/>
                <w:szCs w:val="28"/>
              </w:rPr>
            </w:pPr>
            <w:r>
              <w:rPr>
                <w:rFonts w:ascii="仿宋_GB2312" w:eastAsia="仿宋_GB2312" w:hAnsi="Calibri" w:cs="Arial Black" w:hint="eastAsia"/>
                <w:kern w:val="0"/>
                <w:sz w:val="28"/>
                <w:szCs w:val="28"/>
              </w:rPr>
              <w:lastRenderedPageBreak/>
              <w:t>2</w:t>
            </w:r>
            <w:r>
              <w:rPr>
                <w:rFonts w:ascii="仿宋_GB2312" w:eastAsia="仿宋_GB2312" w:hAnsi="Calibri" w:cs="Arial Black" w:hint="eastAsia"/>
                <w:kern w:val="0"/>
                <w:sz w:val="28"/>
                <w:szCs w:val="28"/>
              </w:rPr>
              <w:t>、经费形式分为财政拨款、财政性资金基本保证、财政性资金定额或定项补助、财政性资金零补助四类。</w:t>
            </w:r>
          </w:p>
        </w:tc>
      </w:tr>
    </w:tbl>
    <w:p w:rsidR="00E77C63" w:rsidRDefault="00E77C63">
      <w:pPr>
        <w:widowControl/>
        <w:spacing w:after="160" w:line="580" w:lineRule="exact"/>
        <w:rPr>
          <w:rFonts w:ascii="Times New Roman" w:eastAsia="黑体" w:hAnsi="Times New Roman" w:cs="Times New Roman"/>
          <w:sz w:val="32"/>
          <w:szCs w:val="32"/>
        </w:rPr>
        <w:sectPr w:rsidR="00E77C63">
          <w:headerReference w:type="default" r:id="rId14"/>
          <w:pgSz w:w="11906" w:h="16838"/>
          <w:pgMar w:top="2098" w:right="1531" w:bottom="1984" w:left="1531" w:header="851" w:footer="992" w:gutter="0"/>
          <w:pgNumType w:fmt="numberInDash"/>
          <w:cols w:space="0"/>
          <w:titlePg/>
          <w:docGrid w:type="lines" w:linePitch="312"/>
        </w:sectPr>
      </w:pPr>
      <w:r w:rsidRPr="00E77C63">
        <w:rPr>
          <w:sz w:val="72"/>
        </w:rPr>
        <w:lastRenderedPageBreak/>
        <w:pict>
          <v:shape id="_x0000_s1031" type="#_x0000_t202" style="position:absolute;left:0;text-align:left;margin-left:-85.7pt;margin-top:238.15pt;width:613.65pt;height:173.25pt;z-index:251662336;mso-position-horizontal-relative:text;mso-position-vertical-relative:text"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filled="f" stroked="f" strokeweight=".5pt">
            <v:textbox>
              <w:txbxContent>
                <w:p w:rsidR="00E77C63" w:rsidRDefault="00E77C63">
                  <w:pPr>
                    <w:widowControl/>
                    <w:jc w:val="center"/>
                    <w:rPr>
                      <w:rFonts w:ascii="黑体" w:eastAsia="黑体" w:hAnsi="黑体" w:cs="黑体"/>
                      <w:color w:val="000000" w:themeColor="text1"/>
                      <w:sz w:val="96"/>
                      <w:szCs w:val="96"/>
                    </w:rPr>
                  </w:pPr>
                </w:p>
                <w:p w:rsidR="00E77C63" w:rsidRDefault="00E77C63">
                  <w:pPr>
                    <w:widowControl/>
                    <w:jc w:val="center"/>
                    <w:rPr>
                      <w:rFonts w:ascii="黑体" w:eastAsia="黑体" w:hAnsi="黑体" w:cs="黑体"/>
                      <w:color w:val="000000" w:themeColor="text1"/>
                      <w:sz w:val="96"/>
                      <w:szCs w:val="96"/>
                    </w:rPr>
                  </w:pPr>
                </w:p>
              </w:txbxContent>
            </v:textbox>
          </v:shape>
        </w:pict>
      </w:r>
    </w:p>
    <w:p w:rsidR="00E77C63" w:rsidRDefault="00E77C63">
      <w:pPr>
        <w:rPr>
          <w:rFonts w:ascii="黑体" w:eastAsia="黑体" w:hAnsi="黑体" w:cs="黑体"/>
          <w:sz w:val="56"/>
          <w:szCs w:val="72"/>
        </w:rPr>
      </w:pPr>
    </w:p>
    <w:p w:rsidR="00E77C63" w:rsidRDefault="00E77C63">
      <w:pPr>
        <w:jc w:val="center"/>
        <w:rPr>
          <w:rFonts w:ascii="黑体" w:eastAsia="黑体" w:hAnsi="黑体" w:cs="黑体"/>
          <w:sz w:val="56"/>
          <w:szCs w:val="72"/>
        </w:rPr>
      </w:pPr>
    </w:p>
    <w:p w:rsidR="00E77C63" w:rsidRDefault="00E77C63">
      <w:pPr>
        <w:jc w:val="center"/>
        <w:rPr>
          <w:rFonts w:ascii="黑体" w:eastAsia="黑体" w:hAnsi="黑体" w:cs="黑体"/>
          <w:sz w:val="56"/>
          <w:szCs w:val="72"/>
        </w:rPr>
      </w:pPr>
    </w:p>
    <w:p w:rsidR="00E77C63" w:rsidRDefault="00E77C63">
      <w:pPr>
        <w:jc w:val="center"/>
        <w:rPr>
          <w:rFonts w:ascii="黑体" w:eastAsia="黑体" w:hAnsi="黑体" w:cs="黑体"/>
          <w:sz w:val="56"/>
          <w:szCs w:val="72"/>
        </w:rPr>
      </w:pPr>
    </w:p>
    <w:p w:rsidR="00E77C63" w:rsidRDefault="00E77C63">
      <w:pPr>
        <w:jc w:val="center"/>
        <w:rPr>
          <w:rFonts w:ascii="黑体" w:eastAsia="黑体" w:hAnsi="黑体" w:cs="黑体"/>
          <w:sz w:val="56"/>
          <w:szCs w:val="72"/>
        </w:rPr>
      </w:pPr>
    </w:p>
    <w:p w:rsidR="00E77C63" w:rsidRDefault="00E77C63">
      <w:pPr>
        <w:jc w:val="center"/>
        <w:rPr>
          <w:rFonts w:ascii="黑体" w:eastAsia="黑体" w:hAnsi="黑体" w:cs="黑体"/>
          <w:sz w:val="56"/>
          <w:szCs w:val="72"/>
        </w:rPr>
      </w:pPr>
    </w:p>
    <w:p w:rsidR="00E77C63" w:rsidRDefault="00E77C63">
      <w:pPr>
        <w:jc w:val="center"/>
        <w:rPr>
          <w:rFonts w:ascii="黑体" w:eastAsia="黑体" w:hAnsi="黑体" w:cs="黑体"/>
          <w:sz w:val="56"/>
          <w:szCs w:val="72"/>
        </w:rPr>
      </w:pPr>
    </w:p>
    <w:p w:rsidR="00E77C63" w:rsidRDefault="00E77C63">
      <w:pPr>
        <w:jc w:val="center"/>
        <w:rPr>
          <w:rFonts w:ascii="黑体" w:eastAsia="黑体" w:hAnsi="黑体" w:cs="黑体"/>
          <w:sz w:val="56"/>
          <w:szCs w:val="72"/>
        </w:rPr>
      </w:pPr>
      <w:r w:rsidRPr="00E77C63">
        <w:rPr>
          <w:sz w:val="72"/>
        </w:rPr>
        <w:pict>
          <v:shape id="_x0000_s1030" type="#_x0000_t202" style="position:absolute;left:0;text-align:left;margin-left:-80.95pt;margin-top:-207.65pt;width:613.65pt;height:263.1pt;z-index:251663360;v-text-anchor:middle"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fillcolor="#7f7f7f [1612]" strokecolor="#a6a6a6" strokeweight="1pt">
            <v:fill r:id="rId13" o:title="5%" color2="white [3212]" type="pattern"/>
            <v:stroke joinstyle="round"/>
            <v:textbox>
              <w:txbxContent>
                <w:p w:rsidR="00E77C63" w:rsidRDefault="00720BDD">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第二部分</w:t>
                  </w:r>
                  <w:r>
                    <w:rPr>
                      <w:rFonts w:ascii="黑体" w:eastAsia="黑体" w:hAnsi="黑体" w:cs="黑体" w:hint="eastAsia"/>
                      <w:color w:val="000000" w:themeColor="text1"/>
                      <w:sz w:val="90"/>
                      <w:szCs w:val="90"/>
                    </w:rPr>
                    <w:t xml:space="preserve"> </w:t>
                  </w:r>
                </w:p>
                <w:p w:rsidR="00E77C63" w:rsidRDefault="00720BDD">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2020</w:t>
                  </w:r>
                  <w:r>
                    <w:rPr>
                      <w:rFonts w:ascii="黑体" w:eastAsia="黑体" w:hAnsi="黑体" w:cs="黑体" w:hint="eastAsia"/>
                      <w:color w:val="000000" w:themeColor="text1"/>
                      <w:sz w:val="90"/>
                      <w:szCs w:val="90"/>
                    </w:rPr>
                    <w:t>年部门决算情况说明</w:t>
                  </w:r>
                </w:p>
                <w:p w:rsidR="00E77C63" w:rsidRDefault="00E77C63">
                  <w:pPr>
                    <w:widowControl/>
                    <w:jc w:val="center"/>
                  </w:pPr>
                </w:p>
                <w:p w:rsidR="00E77C63" w:rsidRDefault="00E77C63"/>
              </w:txbxContent>
            </v:textbox>
          </v:shape>
        </w:pict>
      </w:r>
    </w:p>
    <w:p w:rsidR="00E77C63" w:rsidRDefault="00E77C63">
      <w:pPr>
        <w:jc w:val="center"/>
        <w:rPr>
          <w:rFonts w:ascii="黑体" w:eastAsia="黑体" w:hAnsi="黑体" w:cs="黑体"/>
          <w:sz w:val="56"/>
          <w:szCs w:val="72"/>
        </w:rPr>
      </w:pPr>
    </w:p>
    <w:p w:rsidR="00E77C63" w:rsidRDefault="00720BDD">
      <w:pPr>
        <w:keepNext/>
        <w:keepLines/>
        <w:snapToGrid w:val="0"/>
        <w:spacing w:line="600" w:lineRule="exact"/>
        <w:ind w:firstLineChars="200" w:firstLine="420"/>
        <w:outlineLvl w:val="1"/>
        <w:rPr>
          <w:rFonts w:ascii="黑体" w:eastAsia="黑体" w:hAnsi="Calibri" w:cs="Times New Roman"/>
          <w:sz w:val="32"/>
          <w:szCs w:val="32"/>
        </w:rPr>
      </w:pPr>
      <w:r>
        <w:br w:type="page"/>
      </w: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rsidR="00E77C63" w:rsidRDefault="00720BDD">
      <w:pPr>
        <w:adjustRightInd w:val="0"/>
        <w:snapToGrid w:val="0"/>
        <w:spacing w:line="600" w:lineRule="exact"/>
        <w:ind w:firstLineChars="200" w:firstLine="640"/>
        <w:rPr>
          <w:rFonts w:ascii="仿宋_GB2312" w:eastAsia="仿宋_GB2312" w:hAnsi="Times New Roman" w:cs="Wingdings"/>
          <w:sz w:val="32"/>
          <w:szCs w:val="32"/>
          <w:highlight w:val="yellow"/>
        </w:rPr>
      </w:pPr>
      <w:r>
        <w:rPr>
          <w:rFonts w:ascii="仿宋_GB2312" w:eastAsia="仿宋_GB2312" w:hAnsi="Times New Roman" w:cs="Wingdings" w:hint="eastAsia"/>
          <w:noProof/>
          <w:sz w:val="32"/>
          <w:szCs w:val="32"/>
        </w:rPr>
        <w:drawing>
          <wp:anchor distT="0" distB="0" distL="114300" distR="114300" simplePos="0" relativeHeight="251664384" behindDoc="1" locked="0" layoutInCell="1" allowOverlap="1">
            <wp:simplePos x="0" y="0"/>
            <wp:positionH relativeFrom="column">
              <wp:posOffset>723265</wp:posOffset>
            </wp:positionH>
            <wp:positionV relativeFrom="paragraph">
              <wp:posOffset>2482215</wp:posOffset>
            </wp:positionV>
            <wp:extent cx="4157980" cy="2273300"/>
            <wp:effectExtent l="0" t="0" r="7620" b="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仿宋_GB2312" w:eastAsia="仿宋_GB2312" w:hAnsi="Times New Roman" w:cs="Wingdings" w:hint="eastAsia"/>
          <w:sz w:val="32"/>
          <w:szCs w:val="32"/>
        </w:rPr>
        <w:t>张家口市第四医院</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年度收、支总计（含结转和结余）</w:t>
      </w:r>
      <w:r>
        <w:rPr>
          <w:rFonts w:ascii="仿宋_GB2312" w:eastAsia="仿宋_GB2312" w:hAnsi="Times New Roman" w:cs="Wingdings" w:hint="eastAsia"/>
          <w:sz w:val="32"/>
          <w:szCs w:val="32"/>
        </w:rPr>
        <w:t>34558.92</w:t>
      </w:r>
      <w:r>
        <w:rPr>
          <w:rFonts w:ascii="仿宋_GB2312" w:eastAsia="仿宋_GB2312" w:hAnsi="Times New Roman" w:cs="Wingdings" w:hint="eastAsia"/>
          <w:sz w:val="32"/>
          <w:szCs w:val="32"/>
        </w:rPr>
        <w:t>万元。与</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年度决算相比，收支减</w:t>
      </w:r>
      <w:r>
        <w:rPr>
          <w:rFonts w:ascii="仿宋_GB2312" w:eastAsia="仿宋_GB2312" w:hAnsi="Times New Roman" w:cs="Wingdings" w:hint="eastAsia"/>
          <w:sz w:val="32"/>
          <w:szCs w:val="32"/>
        </w:rPr>
        <w:t>少</w:t>
      </w:r>
      <w:r>
        <w:rPr>
          <w:rFonts w:ascii="仿宋_GB2312" w:eastAsia="仿宋_GB2312" w:hAnsi="Times New Roman" w:cs="Wingdings" w:hint="eastAsia"/>
          <w:sz w:val="32"/>
          <w:szCs w:val="32"/>
        </w:rPr>
        <w:t>5907.59</w:t>
      </w:r>
      <w:r>
        <w:rPr>
          <w:rFonts w:ascii="仿宋_GB2312" w:eastAsia="仿宋_GB2312" w:hAnsi="Times New Roman" w:cs="Wingdings" w:hint="eastAsia"/>
          <w:sz w:val="32"/>
          <w:szCs w:val="32"/>
        </w:rPr>
        <w:t>万元，下降</w:t>
      </w:r>
      <w:r>
        <w:rPr>
          <w:rFonts w:ascii="仿宋_GB2312" w:eastAsia="仿宋_GB2312" w:hAnsi="Times New Roman" w:cs="Wingdings" w:hint="eastAsia"/>
          <w:sz w:val="32"/>
          <w:szCs w:val="32"/>
        </w:rPr>
        <w:t>14.60</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，主要原因</w:t>
      </w:r>
      <w:r>
        <w:rPr>
          <w:rFonts w:ascii="仿宋_GB2312" w:eastAsia="仿宋_GB2312" w:hAnsi="Times New Roman" w:cs="Wingdings" w:hint="eastAsia"/>
          <w:sz w:val="32"/>
          <w:szCs w:val="32"/>
        </w:rPr>
        <w:t>一</w:t>
      </w:r>
      <w:r>
        <w:rPr>
          <w:rFonts w:ascii="仿宋_GB2312" w:eastAsia="仿宋_GB2312" w:hAnsi="Times New Roman" w:cs="Wingdings" w:hint="eastAsia"/>
          <w:sz w:val="32"/>
          <w:szCs w:val="32"/>
        </w:rPr>
        <w:t>是</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年受新冠疫情影响事业收入有所下降；二是公用经费支出较上年有所提高，</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年除固定支出外，疫情防控支出大幅增加；</w:t>
      </w:r>
      <w:r>
        <w:rPr>
          <w:rFonts w:ascii="仿宋_GB2312" w:eastAsia="仿宋_GB2312" w:hAnsi="Times New Roman" w:cs="Wingdings" w:hint="eastAsia"/>
          <w:sz w:val="32"/>
          <w:szCs w:val="32"/>
        </w:rPr>
        <w:t>三是</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年年末结转和结余与</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年填报口径有所调整（</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年是政府会计制度改革的第一年）。</w:t>
      </w:r>
    </w:p>
    <w:p w:rsidR="00E77C63" w:rsidRDefault="00E77C63">
      <w:pPr>
        <w:adjustRightInd w:val="0"/>
        <w:snapToGrid w:val="0"/>
        <w:spacing w:line="600" w:lineRule="exact"/>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720BDD">
      <w:pPr>
        <w:tabs>
          <w:tab w:val="left" w:pos="5800"/>
        </w:tabs>
        <w:adjustRightInd w:val="0"/>
        <w:snapToGrid w:val="0"/>
        <w:spacing w:line="600" w:lineRule="exact"/>
        <w:ind w:firstLineChars="200" w:firstLine="640"/>
        <w:rPr>
          <w:rFonts w:ascii="仿宋_GB2312" w:eastAsia="仿宋_GB2312" w:hAnsi="Times New Roman" w:cs="Wingdings"/>
          <w:sz w:val="18"/>
          <w:szCs w:val="18"/>
        </w:rPr>
      </w:pPr>
      <w:r>
        <w:rPr>
          <w:rFonts w:ascii="仿宋_GB2312" w:eastAsia="仿宋_GB2312" w:hAnsi="Times New Roman" w:cs="Wingdings"/>
          <w:sz w:val="32"/>
          <w:szCs w:val="32"/>
        </w:rPr>
        <w:tab/>
      </w: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720BDD">
      <w:pPr>
        <w:tabs>
          <w:tab w:val="left" w:pos="2820"/>
        </w:tabs>
        <w:adjustRightInd w:val="0"/>
        <w:snapToGrid w:val="0"/>
        <w:spacing w:line="600" w:lineRule="exact"/>
        <w:ind w:firstLineChars="200" w:firstLine="640"/>
        <w:rPr>
          <w:rFonts w:ascii="黑体" w:eastAsia="黑体" w:hAnsi="Calibri" w:cs="Times New Roman"/>
          <w:sz w:val="32"/>
          <w:szCs w:val="32"/>
        </w:rPr>
      </w:pPr>
      <w:r>
        <w:rPr>
          <w:rFonts w:ascii="仿宋_GB2312" w:eastAsia="仿宋_GB2312" w:hAnsi="Times New Roman" w:cs="Wingdings"/>
          <w:sz w:val="32"/>
          <w:szCs w:val="32"/>
        </w:rPr>
        <w:tab/>
      </w:r>
    </w:p>
    <w:p w:rsidR="00E77C63" w:rsidRDefault="00720BDD">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rsidR="00E77C63" w:rsidRDefault="00720BD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noProof/>
          <w:sz w:val="32"/>
          <w:szCs w:val="32"/>
          <w:highlight w:val="yellow"/>
        </w:rPr>
        <w:drawing>
          <wp:anchor distT="0" distB="0" distL="114300" distR="114300" simplePos="0" relativeHeight="251667456" behindDoc="0" locked="0" layoutInCell="1" allowOverlap="1">
            <wp:simplePos x="0" y="0"/>
            <wp:positionH relativeFrom="column">
              <wp:posOffset>942975</wp:posOffset>
            </wp:positionH>
            <wp:positionV relativeFrom="paragraph">
              <wp:posOffset>1506855</wp:posOffset>
            </wp:positionV>
            <wp:extent cx="4127500" cy="2357755"/>
            <wp:effectExtent l="4445" t="5080" r="8255" b="12065"/>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仿宋_GB2312" w:eastAsia="仿宋_GB2312" w:hAnsi="Times New Roman" w:cs="Wingdings" w:hint="eastAsia"/>
          <w:sz w:val="32"/>
          <w:szCs w:val="32"/>
        </w:rPr>
        <w:t>张家口市第四医院</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年度本年收入合计</w:t>
      </w:r>
      <w:r>
        <w:rPr>
          <w:rFonts w:ascii="仿宋_GB2312" w:eastAsia="仿宋_GB2312" w:hAnsi="Times New Roman" w:cs="Wingdings" w:hint="eastAsia"/>
          <w:sz w:val="32"/>
          <w:szCs w:val="32"/>
        </w:rPr>
        <w:t>17026.80</w:t>
      </w:r>
      <w:r>
        <w:rPr>
          <w:rFonts w:ascii="仿宋_GB2312" w:eastAsia="仿宋_GB2312" w:hAnsi="Times New Roman" w:cs="Wingdings" w:hint="eastAsia"/>
          <w:sz w:val="32"/>
          <w:szCs w:val="32"/>
        </w:rPr>
        <w:t>万元，其中：财政拨款收入</w:t>
      </w:r>
      <w:r>
        <w:rPr>
          <w:rFonts w:ascii="仿宋_GB2312" w:eastAsia="仿宋_GB2312" w:hAnsi="Times New Roman" w:cs="Wingdings" w:hint="eastAsia"/>
          <w:sz w:val="32"/>
          <w:szCs w:val="32"/>
        </w:rPr>
        <w:t>1276.21</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7.50</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；事业收入</w:t>
      </w:r>
      <w:r>
        <w:rPr>
          <w:rFonts w:ascii="仿宋_GB2312" w:eastAsia="仿宋_GB2312" w:hAnsi="Times New Roman" w:cs="Wingdings" w:hint="eastAsia"/>
          <w:sz w:val="32"/>
          <w:szCs w:val="32"/>
        </w:rPr>
        <w:t>15396.23</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90.42</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；经营收入</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0.00</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；其他收入</w:t>
      </w:r>
      <w:r>
        <w:rPr>
          <w:rFonts w:ascii="仿宋_GB2312" w:eastAsia="仿宋_GB2312" w:hAnsi="Times New Roman" w:cs="Wingdings" w:hint="eastAsia"/>
          <w:sz w:val="32"/>
          <w:szCs w:val="32"/>
        </w:rPr>
        <w:t>354.36</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2.08</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。如图</w:t>
      </w:r>
      <w:r>
        <w:rPr>
          <w:rFonts w:ascii="仿宋_GB2312" w:eastAsia="仿宋_GB2312" w:hAnsi="Times New Roman" w:cs="Wingdings" w:hint="eastAsia"/>
          <w:sz w:val="32"/>
          <w:szCs w:val="32"/>
        </w:rPr>
        <w:t>所示：</w:t>
      </w: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snapToGrid w:val="0"/>
        <w:spacing w:line="600" w:lineRule="exact"/>
        <w:outlineLvl w:val="1"/>
        <w:rPr>
          <w:rFonts w:ascii="黑体" w:eastAsia="黑体" w:hAnsi="Calibri" w:cs="Times New Roman"/>
          <w:sz w:val="32"/>
          <w:szCs w:val="32"/>
        </w:rPr>
      </w:pPr>
    </w:p>
    <w:p w:rsidR="00E77C63" w:rsidRDefault="00720BDD">
      <w:pPr>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三、支出决算情况说明</w:t>
      </w:r>
    </w:p>
    <w:p w:rsidR="00E77C63" w:rsidRDefault="00720BD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张家口市第四医院</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年度本年支出合计</w:t>
      </w:r>
      <w:r>
        <w:rPr>
          <w:rFonts w:ascii="仿宋_GB2312" w:eastAsia="仿宋_GB2312" w:hAnsi="Times New Roman" w:cs="Wingdings" w:hint="eastAsia"/>
          <w:sz w:val="32"/>
          <w:szCs w:val="32"/>
        </w:rPr>
        <w:t>17390.82</w:t>
      </w:r>
      <w:r>
        <w:rPr>
          <w:rFonts w:ascii="仿宋_GB2312" w:eastAsia="仿宋_GB2312" w:hAnsi="Times New Roman" w:cs="Wingdings" w:hint="eastAsia"/>
          <w:sz w:val="32"/>
          <w:szCs w:val="32"/>
        </w:rPr>
        <w:t>万元，其中：基本支出</w:t>
      </w:r>
      <w:r>
        <w:rPr>
          <w:rFonts w:ascii="仿宋_GB2312" w:eastAsia="仿宋_GB2312" w:hAnsi="Times New Roman" w:cs="Wingdings" w:hint="eastAsia"/>
          <w:sz w:val="32"/>
          <w:szCs w:val="32"/>
        </w:rPr>
        <w:t>15884.78</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91.34</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；项目支出</w:t>
      </w:r>
      <w:r>
        <w:rPr>
          <w:rFonts w:ascii="仿宋_GB2312" w:eastAsia="仿宋_GB2312" w:hAnsi="Times New Roman" w:cs="Wingdings" w:hint="eastAsia"/>
          <w:sz w:val="32"/>
          <w:szCs w:val="32"/>
        </w:rPr>
        <w:t>1506.04</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8.66</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经营支出</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0.00</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。。如图所示：</w:t>
      </w:r>
    </w:p>
    <w:p w:rsidR="00E77C63" w:rsidRDefault="00720BDD">
      <w:pPr>
        <w:adjustRightInd w:val="0"/>
        <w:snapToGrid w:val="0"/>
        <w:spacing w:line="600" w:lineRule="exact"/>
        <w:ind w:firstLineChars="600" w:firstLine="1920"/>
        <w:rPr>
          <w:rFonts w:ascii="仿宋_GB2312" w:eastAsia="仿宋_GB2312" w:hAnsi="Times New Roman" w:cs="Wingdings"/>
          <w:sz w:val="32"/>
          <w:szCs w:val="32"/>
        </w:rPr>
      </w:pPr>
      <w:r>
        <w:rPr>
          <w:rFonts w:ascii="仿宋_GB2312" w:eastAsia="仿宋_GB2312" w:hAnsi="Times New Roman" w:cs="Wingdings" w:hint="eastAsia"/>
          <w:noProof/>
          <w:sz w:val="32"/>
          <w:szCs w:val="32"/>
          <w:highlight w:val="yellow"/>
        </w:rPr>
        <w:drawing>
          <wp:anchor distT="0" distB="0" distL="114300" distR="114300" simplePos="0" relativeHeight="251668480" behindDoc="0" locked="0" layoutInCell="1" allowOverlap="1">
            <wp:simplePos x="0" y="0"/>
            <wp:positionH relativeFrom="column">
              <wp:posOffset>789940</wp:posOffset>
            </wp:positionH>
            <wp:positionV relativeFrom="paragraph">
              <wp:posOffset>9525</wp:posOffset>
            </wp:positionV>
            <wp:extent cx="4127500" cy="2357755"/>
            <wp:effectExtent l="4445" t="5080" r="8255" b="12065"/>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77C63" w:rsidRDefault="00E77C63">
      <w:pPr>
        <w:adjustRightInd w:val="0"/>
        <w:snapToGrid w:val="0"/>
        <w:spacing w:line="600" w:lineRule="exact"/>
        <w:ind w:firstLineChars="600" w:firstLine="1920"/>
        <w:rPr>
          <w:rFonts w:ascii="仿宋_GB2312" w:eastAsia="仿宋_GB2312" w:hAnsi="Times New Roman" w:cs="Wingdings"/>
          <w:sz w:val="32"/>
          <w:szCs w:val="32"/>
        </w:rPr>
      </w:pPr>
    </w:p>
    <w:p w:rsidR="00E77C63" w:rsidRDefault="00E77C63">
      <w:pPr>
        <w:adjustRightInd w:val="0"/>
        <w:snapToGrid w:val="0"/>
        <w:spacing w:line="600" w:lineRule="exact"/>
        <w:ind w:firstLineChars="600" w:firstLine="1920"/>
        <w:rPr>
          <w:rFonts w:ascii="仿宋_GB2312" w:eastAsia="仿宋_GB2312" w:hAnsi="Times New Roman" w:cs="Wingdings"/>
          <w:sz w:val="32"/>
          <w:szCs w:val="32"/>
        </w:rPr>
      </w:pPr>
    </w:p>
    <w:p w:rsidR="00E77C63" w:rsidRDefault="00E77C63">
      <w:pPr>
        <w:keepNext/>
        <w:keepLines/>
        <w:snapToGrid w:val="0"/>
        <w:spacing w:line="600" w:lineRule="exact"/>
        <w:ind w:firstLineChars="200" w:firstLine="643"/>
        <w:outlineLvl w:val="1"/>
        <w:rPr>
          <w:rFonts w:ascii="黑体" w:eastAsia="黑体" w:hAnsi="Calibri" w:cs="Times New Roman"/>
          <w:b/>
          <w:bCs/>
          <w:sz w:val="32"/>
          <w:szCs w:val="32"/>
        </w:rPr>
      </w:pPr>
    </w:p>
    <w:p w:rsidR="00E77C63" w:rsidRDefault="00E77C63">
      <w:pPr>
        <w:keepNext/>
        <w:keepLines/>
        <w:snapToGrid w:val="0"/>
        <w:spacing w:line="600" w:lineRule="exact"/>
        <w:ind w:firstLineChars="200" w:firstLine="643"/>
        <w:outlineLvl w:val="1"/>
        <w:rPr>
          <w:rFonts w:ascii="黑体" w:eastAsia="黑体" w:hAnsi="Calibri" w:cs="Times New Roman"/>
          <w:b/>
          <w:bCs/>
          <w:sz w:val="32"/>
          <w:szCs w:val="32"/>
        </w:rPr>
      </w:pPr>
    </w:p>
    <w:p w:rsidR="00E77C63" w:rsidRDefault="00E77C63">
      <w:pPr>
        <w:keepNext/>
        <w:keepLines/>
        <w:snapToGrid w:val="0"/>
        <w:spacing w:line="600" w:lineRule="exact"/>
        <w:ind w:firstLineChars="200" w:firstLine="643"/>
        <w:outlineLvl w:val="1"/>
        <w:rPr>
          <w:rFonts w:ascii="黑体" w:eastAsia="黑体" w:hAnsi="Calibri" w:cs="Times New Roman"/>
          <w:b/>
          <w:bCs/>
          <w:sz w:val="32"/>
          <w:szCs w:val="32"/>
        </w:rPr>
      </w:pPr>
    </w:p>
    <w:p w:rsidR="00E77C63" w:rsidRDefault="00720BDD">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rsidR="00E77C63" w:rsidRDefault="00720BDD">
      <w:pPr>
        <w:snapToGrid w:val="0"/>
        <w:spacing w:line="600" w:lineRule="exact"/>
        <w:ind w:firstLineChars="200" w:firstLine="643"/>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（一）财政拨款收支与</w:t>
      </w:r>
      <w:r>
        <w:rPr>
          <w:rFonts w:ascii="楷体_GB2312" w:eastAsia="楷体_GB2312" w:hAnsi="Times New Roman" w:cs="Mongolian Baiti" w:hint="eastAsia"/>
          <w:b/>
          <w:bCs/>
          <w:sz w:val="32"/>
          <w:szCs w:val="32"/>
        </w:rPr>
        <w:t>2019</w:t>
      </w:r>
      <w:r>
        <w:rPr>
          <w:rFonts w:ascii="楷体_GB2312" w:eastAsia="楷体_GB2312" w:hAnsi="Times New Roman" w:cs="Mongolian Baiti" w:hint="eastAsia"/>
          <w:b/>
          <w:bCs/>
          <w:sz w:val="32"/>
          <w:szCs w:val="32"/>
        </w:rPr>
        <w:t>年度决算对比情况</w:t>
      </w:r>
    </w:p>
    <w:p w:rsidR="00E77C63" w:rsidRDefault="00720BD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张家口市第四医院</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年度财政拨款收支均为一般公共预算财政拨款，其中本年收入</w:t>
      </w:r>
      <w:r>
        <w:rPr>
          <w:rFonts w:ascii="仿宋_GB2312" w:eastAsia="仿宋_GB2312" w:hAnsi="Times New Roman" w:cs="Wingdings" w:hint="eastAsia"/>
          <w:sz w:val="32"/>
          <w:szCs w:val="32"/>
        </w:rPr>
        <w:t>1276.21</w:t>
      </w:r>
      <w:r>
        <w:rPr>
          <w:rFonts w:ascii="仿宋_GB2312" w:eastAsia="仿宋_GB2312" w:hAnsi="Times New Roman" w:cs="Wingdings" w:hint="eastAsia"/>
          <w:sz w:val="32"/>
          <w:szCs w:val="32"/>
        </w:rPr>
        <w:t>万元</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比</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年度增加</w:t>
      </w:r>
      <w:r>
        <w:rPr>
          <w:rFonts w:ascii="仿宋_GB2312" w:eastAsia="仿宋_GB2312" w:hAnsi="Times New Roman" w:cs="Wingdings" w:hint="eastAsia"/>
          <w:sz w:val="32"/>
          <w:szCs w:val="32"/>
        </w:rPr>
        <w:t>121.41</w:t>
      </w:r>
      <w:r>
        <w:rPr>
          <w:rFonts w:ascii="仿宋_GB2312" w:eastAsia="仿宋_GB2312" w:hAnsi="Times New Roman" w:cs="Wingdings" w:hint="eastAsia"/>
          <w:sz w:val="32"/>
          <w:szCs w:val="32"/>
        </w:rPr>
        <w:t>万元，增长</w:t>
      </w:r>
      <w:r>
        <w:rPr>
          <w:rFonts w:ascii="仿宋_GB2312" w:eastAsia="仿宋_GB2312" w:hAnsi="Times New Roman" w:cs="Wingdings" w:hint="eastAsia"/>
          <w:sz w:val="32"/>
          <w:szCs w:val="32"/>
        </w:rPr>
        <w:t>10.51</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，主要是</w:t>
      </w:r>
      <w:r>
        <w:rPr>
          <w:rFonts w:ascii="仿宋_GB2312" w:eastAsia="仿宋_GB2312" w:hAnsi="Times New Roman" w:cs="Wingdings" w:hint="eastAsia"/>
          <w:sz w:val="32"/>
          <w:szCs w:val="32"/>
        </w:rPr>
        <w:t>其他组织事务拨款增加</w:t>
      </w:r>
      <w:r>
        <w:rPr>
          <w:rFonts w:ascii="仿宋_GB2312" w:eastAsia="仿宋_GB2312" w:hAnsi="Times New Roman" w:cs="Wingdings" w:hint="eastAsia"/>
          <w:sz w:val="32"/>
          <w:szCs w:val="32"/>
        </w:rPr>
        <w:t>1.97</w:t>
      </w:r>
      <w:r>
        <w:rPr>
          <w:rFonts w:ascii="仿宋_GB2312" w:eastAsia="仿宋_GB2312" w:hAnsi="Times New Roman" w:cs="Wingdings" w:hint="eastAsia"/>
          <w:sz w:val="32"/>
          <w:szCs w:val="32"/>
        </w:rPr>
        <w:t>万元，事业单位离退休拨款增加</w:t>
      </w:r>
      <w:r>
        <w:rPr>
          <w:rFonts w:ascii="仿宋_GB2312" w:eastAsia="仿宋_GB2312" w:hAnsi="Times New Roman" w:cs="Wingdings" w:hint="eastAsia"/>
          <w:sz w:val="32"/>
          <w:szCs w:val="32"/>
        </w:rPr>
        <w:t>1.92</w:t>
      </w:r>
      <w:r>
        <w:rPr>
          <w:rFonts w:ascii="仿宋_GB2312" w:eastAsia="仿宋_GB2312" w:hAnsi="Times New Roman" w:cs="Wingdings" w:hint="eastAsia"/>
          <w:sz w:val="32"/>
          <w:szCs w:val="32"/>
        </w:rPr>
        <w:t>万元，其他专科医院拨款增加</w:t>
      </w:r>
      <w:r>
        <w:rPr>
          <w:rFonts w:ascii="仿宋_GB2312" w:eastAsia="仿宋_GB2312" w:hAnsi="Times New Roman" w:cs="Wingdings" w:hint="eastAsia"/>
          <w:sz w:val="32"/>
          <w:szCs w:val="32"/>
        </w:rPr>
        <w:t>114.72</w:t>
      </w:r>
      <w:r>
        <w:rPr>
          <w:rFonts w:ascii="仿宋_GB2312" w:eastAsia="仿宋_GB2312" w:hAnsi="Times New Roman" w:cs="Wingdings" w:hint="eastAsia"/>
          <w:sz w:val="32"/>
          <w:szCs w:val="32"/>
        </w:rPr>
        <w:t>万元，其他公立医院拨款增加</w:t>
      </w:r>
      <w:r>
        <w:rPr>
          <w:rFonts w:ascii="仿宋_GB2312" w:eastAsia="仿宋_GB2312" w:hAnsi="Times New Roman" w:cs="Wingdings" w:hint="eastAsia"/>
          <w:sz w:val="32"/>
          <w:szCs w:val="32"/>
        </w:rPr>
        <w:t>50.8</w:t>
      </w:r>
      <w:r>
        <w:rPr>
          <w:rFonts w:ascii="仿宋_GB2312" w:eastAsia="仿宋_GB2312" w:hAnsi="Times New Roman" w:cs="Wingdings" w:hint="eastAsia"/>
          <w:sz w:val="32"/>
          <w:szCs w:val="32"/>
        </w:rPr>
        <w:t>万元，突发公共卫生事件应急处理拨款增加</w:t>
      </w:r>
      <w:r>
        <w:rPr>
          <w:rFonts w:ascii="仿宋_GB2312" w:eastAsia="仿宋_GB2312" w:hAnsi="Times New Roman" w:cs="Wingdings" w:hint="eastAsia"/>
          <w:sz w:val="32"/>
          <w:szCs w:val="32"/>
        </w:rPr>
        <w:t>2</w:t>
      </w:r>
      <w:r>
        <w:rPr>
          <w:rFonts w:ascii="仿宋_GB2312" w:eastAsia="仿宋_GB2312" w:hAnsi="Times New Roman" w:cs="Wingdings" w:hint="eastAsia"/>
          <w:sz w:val="32"/>
          <w:szCs w:val="32"/>
        </w:rPr>
        <w:t>万元，综合医院拨款减少</w:t>
      </w:r>
      <w:r>
        <w:rPr>
          <w:rFonts w:ascii="仿宋_GB2312" w:eastAsia="仿宋_GB2312" w:hAnsi="Times New Roman" w:cs="Wingdings" w:hint="eastAsia"/>
          <w:sz w:val="32"/>
          <w:szCs w:val="32"/>
        </w:rPr>
        <w:t>50</w:t>
      </w:r>
      <w:r>
        <w:rPr>
          <w:rFonts w:ascii="仿宋_GB2312" w:eastAsia="仿宋_GB2312" w:hAnsi="Times New Roman" w:cs="Wingdings" w:hint="eastAsia"/>
          <w:sz w:val="32"/>
          <w:szCs w:val="32"/>
        </w:rPr>
        <w:t>万元</w:t>
      </w:r>
      <w:r>
        <w:rPr>
          <w:rFonts w:ascii="仿宋_GB2312" w:eastAsia="仿宋_GB2312" w:hAnsi="Times New Roman" w:cs="Wingdings" w:hint="eastAsia"/>
          <w:sz w:val="32"/>
          <w:szCs w:val="32"/>
        </w:rPr>
        <w:t>；本年支出</w:t>
      </w:r>
      <w:r>
        <w:rPr>
          <w:rFonts w:ascii="仿宋_GB2312" w:eastAsia="仿宋_GB2312" w:hAnsi="Times New Roman" w:cs="Wingdings" w:hint="eastAsia"/>
          <w:sz w:val="32"/>
          <w:szCs w:val="32"/>
        </w:rPr>
        <w:t>1225.16</w:t>
      </w:r>
      <w:r>
        <w:rPr>
          <w:rFonts w:ascii="仿宋_GB2312" w:eastAsia="仿宋_GB2312" w:hAnsi="Times New Roman" w:cs="Wingdings" w:hint="eastAsia"/>
          <w:sz w:val="32"/>
          <w:szCs w:val="32"/>
        </w:rPr>
        <w:t>万元，比</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年度增加</w:t>
      </w:r>
      <w:r>
        <w:rPr>
          <w:rFonts w:ascii="仿宋_GB2312" w:eastAsia="仿宋_GB2312" w:hAnsi="Times New Roman" w:cs="Wingdings" w:hint="eastAsia"/>
          <w:sz w:val="32"/>
          <w:szCs w:val="32"/>
        </w:rPr>
        <w:t>129.19</w:t>
      </w:r>
      <w:r>
        <w:rPr>
          <w:rFonts w:ascii="仿宋_GB2312" w:eastAsia="仿宋_GB2312" w:hAnsi="Times New Roman" w:cs="Wingdings" w:hint="eastAsia"/>
          <w:sz w:val="32"/>
          <w:szCs w:val="32"/>
        </w:rPr>
        <w:t>万元，增长</w:t>
      </w:r>
      <w:r>
        <w:rPr>
          <w:rFonts w:ascii="仿宋_GB2312" w:eastAsia="仿宋_GB2312" w:hAnsi="Times New Roman" w:cs="Wingdings" w:hint="eastAsia"/>
          <w:sz w:val="32"/>
          <w:szCs w:val="32"/>
        </w:rPr>
        <w:t>11.79</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，主要是</w:t>
      </w:r>
      <w:r>
        <w:rPr>
          <w:rFonts w:ascii="仿宋_GB2312" w:eastAsia="仿宋_GB2312" w:hAnsi="Times New Roman" w:cs="Wingdings" w:hint="eastAsia"/>
          <w:sz w:val="32"/>
          <w:szCs w:val="32"/>
        </w:rPr>
        <w:t>本年财政拨款收入较上年有所增加，年内为了充分发挥财政资金专项补助功能，医院根据资金性质加快支出进度。</w:t>
      </w:r>
    </w:p>
    <w:p w:rsidR="00E77C63" w:rsidRDefault="00720BDD">
      <w:pPr>
        <w:adjustRightInd w:val="0"/>
        <w:snapToGrid w:val="0"/>
        <w:spacing w:line="600" w:lineRule="exact"/>
        <w:rPr>
          <w:rFonts w:ascii="仿宋_GB2312" w:eastAsia="仿宋_GB2312" w:hAnsi="Times New Roman" w:cs="Wingdings"/>
          <w:sz w:val="32"/>
          <w:szCs w:val="32"/>
        </w:rPr>
      </w:pPr>
      <w:r>
        <w:rPr>
          <w:rFonts w:ascii="仿宋_GB2312" w:eastAsia="仿宋_GB2312" w:hAnsi="Times New Roman" w:cs="Wingdings" w:hint="eastAsia"/>
          <w:noProof/>
          <w:sz w:val="32"/>
          <w:szCs w:val="32"/>
        </w:rPr>
        <w:lastRenderedPageBreak/>
        <w:drawing>
          <wp:anchor distT="0" distB="0" distL="114300" distR="114300" simplePos="0" relativeHeight="251674624" behindDoc="1" locked="0" layoutInCell="1" allowOverlap="1">
            <wp:simplePos x="0" y="0"/>
            <wp:positionH relativeFrom="column">
              <wp:posOffset>2780665</wp:posOffset>
            </wp:positionH>
            <wp:positionV relativeFrom="paragraph">
              <wp:posOffset>-612140</wp:posOffset>
            </wp:positionV>
            <wp:extent cx="3298190" cy="3556635"/>
            <wp:effectExtent l="0" t="0" r="3810" b="12065"/>
            <wp:wrapNone/>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仿宋_GB2312" w:eastAsia="仿宋_GB2312" w:hAnsi="Times New Roman" w:cs="Wingdings" w:hint="eastAsia"/>
          <w:noProof/>
          <w:sz w:val="32"/>
          <w:szCs w:val="32"/>
        </w:rPr>
        <w:drawing>
          <wp:anchor distT="0" distB="0" distL="114300" distR="114300" simplePos="0" relativeHeight="251673600" behindDoc="1" locked="0" layoutInCell="1" allowOverlap="1">
            <wp:simplePos x="0" y="0"/>
            <wp:positionH relativeFrom="column">
              <wp:posOffset>-421640</wp:posOffset>
            </wp:positionH>
            <wp:positionV relativeFrom="paragraph">
              <wp:posOffset>-655320</wp:posOffset>
            </wp:positionV>
            <wp:extent cx="3298190" cy="3556635"/>
            <wp:effectExtent l="0" t="0" r="3810" b="12065"/>
            <wp:wrapNone/>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E77C63" w:rsidRDefault="00E77C63">
      <w:pPr>
        <w:adjustRightInd w:val="0"/>
        <w:snapToGrid w:val="0"/>
        <w:spacing w:line="600" w:lineRule="exact"/>
        <w:rPr>
          <w:rFonts w:ascii="仿宋_GB2312" w:eastAsia="仿宋_GB2312" w:hAnsi="Times New Roman" w:cs="Wingdings"/>
          <w:sz w:val="32"/>
          <w:szCs w:val="32"/>
        </w:rPr>
      </w:pPr>
    </w:p>
    <w:p w:rsidR="00E77C63" w:rsidRDefault="00E77C63">
      <w:pPr>
        <w:adjustRightInd w:val="0"/>
        <w:snapToGrid w:val="0"/>
        <w:spacing w:line="600" w:lineRule="exact"/>
        <w:rPr>
          <w:rFonts w:ascii="仿宋_GB2312" w:eastAsia="仿宋_GB2312" w:hAnsi="Times New Roman" w:cs="Wingdings"/>
          <w:sz w:val="32"/>
          <w:szCs w:val="32"/>
        </w:rPr>
      </w:pPr>
    </w:p>
    <w:p w:rsidR="00E77C63" w:rsidRDefault="00E77C63">
      <w:pPr>
        <w:adjustRightInd w:val="0"/>
        <w:snapToGrid w:val="0"/>
        <w:spacing w:line="600" w:lineRule="exact"/>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720BD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noProof/>
          <w:sz w:val="32"/>
          <w:szCs w:val="32"/>
        </w:rPr>
        <w:drawing>
          <wp:anchor distT="0" distB="0" distL="114300" distR="114300" simplePos="0" relativeHeight="251671552" behindDoc="0" locked="0" layoutInCell="1" allowOverlap="1">
            <wp:simplePos x="0" y="0"/>
            <wp:positionH relativeFrom="column">
              <wp:posOffset>2865755</wp:posOffset>
            </wp:positionH>
            <wp:positionV relativeFrom="paragraph">
              <wp:posOffset>354330</wp:posOffset>
            </wp:positionV>
            <wp:extent cx="3309620" cy="3669030"/>
            <wp:effectExtent l="4445" t="4445" r="13335" b="9525"/>
            <wp:wrapNone/>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720BDD">
      <w:pPr>
        <w:adjustRightInd w:val="0"/>
        <w:snapToGrid w:val="0"/>
        <w:spacing w:line="600" w:lineRule="exact"/>
        <w:rPr>
          <w:rFonts w:ascii="仿宋_GB2312" w:eastAsia="仿宋_GB2312" w:hAnsi="Times New Roman" w:cs="Wingdings"/>
          <w:sz w:val="32"/>
          <w:szCs w:val="32"/>
        </w:rPr>
      </w:pPr>
      <w:bookmarkStart w:id="0" w:name="_GoBack"/>
      <w:bookmarkEnd w:id="0"/>
      <w:r>
        <w:rPr>
          <w:rFonts w:ascii="仿宋_GB2312" w:eastAsia="仿宋_GB2312" w:hAnsi="Times New Roman" w:cs="Wingdings" w:hint="eastAsia"/>
          <w:noProof/>
          <w:sz w:val="32"/>
          <w:szCs w:val="32"/>
        </w:rPr>
        <w:drawing>
          <wp:anchor distT="0" distB="0" distL="114300" distR="114300" simplePos="0" relativeHeight="251670528" behindDoc="0" locked="0" layoutInCell="1" allowOverlap="1">
            <wp:simplePos x="0" y="0"/>
            <wp:positionH relativeFrom="column">
              <wp:posOffset>-454025</wp:posOffset>
            </wp:positionH>
            <wp:positionV relativeFrom="paragraph">
              <wp:posOffset>-408940</wp:posOffset>
            </wp:positionV>
            <wp:extent cx="3309620" cy="3669030"/>
            <wp:effectExtent l="4445" t="4445" r="13335" b="9525"/>
            <wp:wrapNone/>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rPr>
          <w:rFonts w:ascii="仿宋_GB2312" w:eastAsia="仿宋_GB2312" w:hAnsi="Times New Roman" w:cs="Wingdings"/>
          <w:sz w:val="32"/>
          <w:szCs w:val="32"/>
        </w:rPr>
      </w:pPr>
    </w:p>
    <w:p w:rsidR="00E77C63" w:rsidRDefault="00E77C63">
      <w:pPr>
        <w:adjustRightInd w:val="0"/>
        <w:snapToGrid w:val="0"/>
        <w:spacing w:line="600" w:lineRule="exact"/>
        <w:rPr>
          <w:rFonts w:ascii="仿宋_GB2312" w:eastAsia="仿宋_GB2312" w:hAnsi="Times New Roman" w:cs="Wingdings"/>
          <w:sz w:val="32"/>
          <w:szCs w:val="32"/>
        </w:rPr>
      </w:pPr>
    </w:p>
    <w:p w:rsidR="00E77C63" w:rsidRDefault="00720BDD">
      <w:pPr>
        <w:snapToGrid w:val="0"/>
        <w:spacing w:line="600" w:lineRule="exact"/>
        <w:ind w:firstLineChars="200" w:firstLine="643"/>
        <w:rPr>
          <w:rFonts w:ascii="仿宋_GB2312" w:eastAsia="仿宋_GB2312" w:hAnsi="Times New Roman" w:cs="Mongolian Baiti"/>
          <w:b/>
          <w:bCs/>
          <w:sz w:val="32"/>
          <w:szCs w:val="32"/>
        </w:rPr>
      </w:pPr>
      <w:r>
        <w:rPr>
          <w:rFonts w:ascii="楷体_GB2312" w:eastAsia="楷体_GB2312" w:hAnsi="Times New Roman" w:cs="Mongolian Baiti" w:hint="eastAsia"/>
          <w:b/>
          <w:bCs/>
          <w:sz w:val="32"/>
          <w:szCs w:val="32"/>
        </w:rPr>
        <w:t>（二）财政拨款收支与年初预算数对比情况</w:t>
      </w:r>
    </w:p>
    <w:p w:rsidR="00E77C63" w:rsidRDefault="00720BD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张家口市第四医院</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年度一般公共预算财政拨款收入</w:t>
      </w:r>
      <w:r>
        <w:rPr>
          <w:rFonts w:ascii="仿宋_GB2312" w:eastAsia="仿宋_GB2312" w:hAnsi="Times New Roman" w:cs="Wingdings" w:hint="eastAsia"/>
          <w:sz w:val="32"/>
          <w:szCs w:val="32"/>
        </w:rPr>
        <w:t>1276.21</w:t>
      </w:r>
      <w:r>
        <w:rPr>
          <w:rFonts w:ascii="仿宋_GB2312" w:eastAsia="仿宋_GB2312" w:hAnsi="Times New Roman" w:cs="Wingdings" w:hint="eastAsia"/>
          <w:sz w:val="32"/>
          <w:szCs w:val="32"/>
        </w:rPr>
        <w:t>万元，完成年初预算的</w:t>
      </w:r>
      <w:r>
        <w:rPr>
          <w:rFonts w:ascii="仿宋_GB2312" w:eastAsia="仿宋_GB2312" w:hAnsi="Times New Roman" w:cs="Wingdings" w:hint="eastAsia"/>
          <w:sz w:val="32"/>
          <w:szCs w:val="32"/>
        </w:rPr>
        <w:t>175.06</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比年初预算增加</w:t>
      </w:r>
      <w:r>
        <w:rPr>
          <w:rFonts w:ascii="仿宋_GB2312" w:eastAsia="仿宋_GB2312" w:hAnsi="Times New Roman" w:cs="Wingdings" w:hint="eastAsia"/>
          <w:sz w:val="32"/>
          <w:szCs w:val="32"/>
        </w:rPr>
        <w:t>547.21</w:t>
      </w:r>
      <w:r>
        <w:rPr>
          <w:rFonts w:ascii="仿宋_GB2312" w:eastAsia="仿宋_GB2312" w:hAnsi="Times New Roman" w:cs="Wingdings" w:hint="eastAsia"/>
          <w:sz w:val="32"/>
          <w:szCs w:val="32"/>
        </w:rPr>
        <w:lastRenderedPageBreak/>
        <w:t>万元，决算数大于预算数主要原因是</w:t>
      </w:r>
      <w:r>
        <w:rPr>
          <w:rFonts w:ascii="仿宋_GB2312" w:eastAsia="仿宋_GB2312" w:hAnsi="Times New Roman" w:cs="Wingdings" w:hint="eastAsia"/>
          <w:sz w:val="32"/>
          <w:szCs w:val="32"/>
        </w:rPr>
        <w:t>预算数为财政基本补助，增加部分全部是财政专项资金补助</w:t>
      </w:r>
      <w:r>
        <w:rPr>
          <w:rFonts w:ascii="仿宋_GB2312" w:eastAsia="仿宋_GB2312" w:hAnsi="Times New Roman" w:cs="Wingdings" w:hint="eastAsia"/>
          <w:sz w:val="32"/>
          <w:szCs w:val="32"/>
        </w:rPr>
        <w:t>；本年支出</w:t>
      </w:r>
      <w:r>
        <w:rPr>
          <w:rFonts w:ascii="仿宋_GB2312" w:eastAsia="仿宋_GB2312" w:hAnsi="Times New Roman" w:cs="Wingdings" w:hint="eastAsia"/>
          <w:sz w:val="32"/>
          <w:szCs w:val="32"/>
        </w:rPr>
        <w:t>1225.16</w:t>
      </w:r>
      <w:r>
        <w:rPr>
          <w:rFonts w:ascii="仿宋_GB2312" w:eastAsia="仿宋_GB2312" w:hAnsi="Times New Roman" w:cs="Wingdings" w:hint="eastAsia"/>
          <w:sz w:val="32"/>
          <w:szCs w:val="32"/>
        </w:rPr>
        <w:t>万元，完成年初预算的</w:t>
      </w:r>
      <w:r>
        <w:rPr>
          <w:rFonts w:ascii="仿宋_GB2312" w:eastAsia="仿宋_GB2312" w:hAnsi="Times New Roman" w:cs="Wingdings" w:hint="eastAsia"/>
          <w:sz w:val="32"/>
          <w:szCs w:val="32"/>
        </w:rPr>
        <w:t>168.06</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比年初预算</w:t>
      </w:r>
      <w:r>
        <w:rPr>
          <w:rFonts w:ascii="仿宋_GB2312" w:eastAsia="仿宋_GB2312" w:hAnsi="Times New Roman" w:cs="Wingdings" w:hint="eastAsia"/>
          <w:sz w:val="32"/>
          <w:szCs w:val="32"/>
        </w:rPr>
        <w:t>增加</w:t>
      </w:r>
      <w:r>
        <w:rPr>
          <w:rFonts w:ascii="仿宋_GB2312" w:eastAsia="仿宋_GB2312" w:hAnsi="Times New Roman" w:cs="Wingdings" w:hint="eastAsia"/>
          <w:sz w:val="32"/>
          <w:szCs w:val="32"/>
        </w:rPr>
        <w:t>496.16</w:t>
      </w:r>
      <w:r>
        <w:rPr>
          <w:rFonts w:ascii="仿宋_GB2312" w:eastAsia="仿宋_GB2312" w:hAnsi="Times New Roman" w:cs="Wingdings" w:hint="eastAsia"/>
          <w:sz w:val="32"/>
          <w:szCs w:val="32"/>
        </w:rPr>
        <w:t>万元，决算数</w:t>
      </w:r>
      <w:r>
        <w:rPr>
          <w:rFonts w:ascii="仿宋_GB2312" w:eastAsia="仿宋_GB2312" w:hAnsi="Times New Roman" w:cs="Wingdings" w:hint="eastAsia"/>
          <w:sz w:val="32"/>
          <w:szCs w:val="32"/>
        </w:rPr>
        <w:t>大</w:t>
      </w:r>
      <w:r>
        <w:rPr>
          <w:rFonts w:ascii="仿宋_GB2312" w:eastAsia="仿宋_GB2312" w:hAnsi="Times New Roman" w:cs="Wingdings" w:hint="eastAsia"/>
          <w:sz w:val="32"/>
          <w:szCs w:val="32"/>
        </w:rPr>
        <w:t>于预算数主要原因是</w:t>
      </w:r>
      <w:r>
        <w:rPr>
          <w:rFonts w:ascii="仿宋_GB2312" w:eastAsia="仿宋_GB2312" w:hAnsi="Times New Roman" w:cs="Wingdings" w:hint="eastAsia"/>
          <w:sz w:val="32"/>
          <w:szCs w:val="32"/>
        </w:rPr>
        <w:t>预算数为财政基本补助支出，增加部分全部是财政专项资金支出</w:t>
      </w:r>
      <w:r>
        <w:rPr>
          <w:rFonts w:ascii="仿宋_GB2312" w:eastAsia="仿宋_GB2312" w:hAnsi="Times New Roman" w:cs="Wingdings" w:hint="eastAsia"/>
          <w:sz w:val="32"/>
          <w:szCs w:val="32"/>
        </w:rPr>
        <w:t>。</w:t>
      </w:r>
    </w:p>
    <w:p w:rsidR="00E77C63" w:rsidRDefault="00720BD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noProof/>
          <w:sz w:val="32"/>
          <w:szCs w:val="32"/>
        </w:rPr>
        <w:drawing>
          <wp:anchor distT="0" distB="0" distL="114300" distR="114300" simplePos="0" relativeHeight="251672576" behindDoc="0" locked="0" layoutInCell="1" allowOverlap="1">
            <wp:simplePos x="0" y="0"/>
            <wp:positionH relativeFrom="column">
              <wp:posOffset>495300</wp:posOffset>
            </wp:positionH>
            <wp:positionV relativeFrom="paragraph">
              <wp:posOffset>42545</wp:posOffset>
            </wp:positionV>
            <wp:extent cx="4721225" cy="3204210"/>
            <wp:effectExtent l="4445" t="5080" r="11430" b="16510"/>
            <wp:wrapNone/>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720BDD">
      <w:pPr>
        <w:numPr>
          <w:ilvl w:val="0"/>
          <w:numId w:val="1"/>
        </w:numPr>
        <w:adjustRightInd w:val="0"/>
        <w:snapToGrid w:val="0"/>
        <w:spacing w:line="600" w:lineRule="exact"/>
        <w:ind w:leftChars="200" w:left="420"/>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财政拨款支出决算结构情况。</w:t>
      </w:r>
    </w:p>
    <w:p w:rsidR="00E77C63" w:rsidRDefault="00720BD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noProof/>
          <w:sz w:val="32"/>
          <w:szCs w:val="32"/>
          <w:highlight w:val="yellow"/>
        </w:rPr>
        <w:drawing>
          <wp:anchor distT="0" distB="0" distL="114300" distR="114300" simplePos="0" relativeHeight="251669504" behindDoc="0" locked="0" layoutInCell="1" allowOverlap="1">
            <wp:simplePos x="0" y="0"/>
            <wp:positionH relativeFrom="column">
              <wp:posOffset>1193165</wp:posOffset>
            </wp:positionH>
            <wp:positionV relativeFrom="paragraph">
              <wp:posOffset>1128395</wp:posOffset>
            </wp:positionV>
            <wp:extent cx="3578860" cy="2444115"/>
            <wp:effectExtent l="4445" t="4445" r="10795" b="1524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仿宋_GB2312" w:eastAsia="仿宋_GB2312" w:hAnsi="Times New Roman" w:cs="Wingdings" w:hint="eastAsia"/>
          <w:sz w:val="32"/>
          <w:szCs w:val="32"/>
        </w:rPr>
        <w:t xml:space="preserve">2020 </w:t>
      </w:r>
      <w:r>
        <w:rPr>
          <w:rFonts w:ascii="仿宋_GB2312" w:eastAsia="仿宋_GB2312" w:hAnsi="Times New Roman" w:cs="Wingdings" w:hint="eastAsia"/>
          <w:sz w:val="32"/>
          <w:szCs w:val="32"/>
        </w:rPr>
        <w:t>年度财政拨款支出</w:t>
      </w:r>
      <w:r>
        <w:rPr>
          <w:rFonts w:ascii="仿宋_GB2312" w:eastAsia="仿宋_GB2312" w:hAnsi="Times New Roman" w:cs="Wingdings" w:hint="eastAsia"/>
          <w:sz w:val="32"/>
          <w:szCs w:val="32"/>
        </w:rPr>
        <w:t>1225.16</w:t>
      </w:r>
      <w:r>
        <w:rPr>
          <w:rFonts w:ascii="仿宋_GB2312" w:eastAsia="仿宋_GB2312" w:hAnsi="Times New Roman" w:cs="Wingdings" w:hint="eastAsia"/>
          <w:sz w:val="32"/>
          <w:szCs w:val="32"/>
        </w:rPr>
        <w:t>万元，主要用于以下方面：</w:t>
      </w:r>
      <w:bookmarkStart w:id="1" w:name="OLE_LINK1"/>
      <w:r>
        <w:rPr>
          <w:rFonts w:ascii="仿宋_GB2312" w:eastAsia="仿宋_GB2312" w:hAnsi="Times New Roman" w:cs="Wingdings" w:hint="eastAsia"/>
          <w:sz w:val="32"/>
          <w:szCs w:val="32"/>
        </w:rPr>
        <w:t>社会保障和就业支出</w:t>
      </w:r>
      <w:bookmarkEnd w:id="1"/>
      <w:r>
        <w:rPr>
          <w:rFonts w:ascii="仿宋_GB2312" w:eastAsia="仿宋_GB2312" w:hAnsi="Times New Roman" w:cs="Wingdings" w:hint="eastAsia"/>
          <w:sz w:val="32"/>
          <w:szCs w:val="32"/>
        </w:rPr>
        <w:t>1.92</w:t>
      </w:r>
      <w:r>
        <w:rPr>
          <w:rFonts w:ascii="仿宋_GB2312" w:eastAsia="仿宋_GB2312" w:hAnsi="Times New Roman" w:cs="Wingdings" w:hint="eastAsia"/>
          <w:sz w:val="32"/>
          <w:szCs w:val="32"/>
        </w:rPr>
        <w:t>万元，占</w:t>
      </w:r>
      <w:r>
        <w:rPr>
          <w:rFonts w:ascii="仿宋_GB2312" w:eastAsia="仿宋_GB2312" w:hAnsi="Times New Roman" w:cs="Wingdings" w:hint="eastAsia"/>
          <w:sz w:val="32"/>
          <w:szCs w:val="32"/>
        </w:rPr>
        <w:t>0.16</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卫生健康支出</w:t>
      </w:r>
      <w:r>
        <w:rPr>
          <w:rFonts w:ascii="仿宋_GB2312" w:eastAsia="仿宋_GB2312" w:hAnsi="Times New Roman" w:cs="Wingdings" w:hint="eastAsia"/>
          <w:sz w:val="32"/>
          <w:szCs w:val="32"/>
        </w:rPr>
        <w:t>1223.24</w:t>
      </w:r>
      <w:r>
        <w:rPr>
          <w:rFonts w:ascii="仿宋_GB2312" w:eastAsia="仿宋_GB2312" w:hAnsi="Times New Roman" w:cs="Wingdings" w:hint="eastAsia"/>
          <w:sz w:val="32"/>
          <w:szCs w:val="32"/>
        </w:rPr>
        <w:t>万元</w:t>
      </w:r>
      <w:r>
        <w:rPr>
          <w:rFonts w:ascii="仿宋_GB2312" w:eastAsia="仿宋_GB2312" w:hAnsi="Times New Roman" w:cs="Wingdings" w:hint="eastAsia"/>
          <w:sz w:val="32"/>
          <w:szCs w:val="32"/>
        </w:rPr>
        <w:t>，占</w:t>
      </w:r>
      <w:r>
        <w:rPr>
          <w:rFonts w:ascii="仿宋_GB2312" w:eastAsia="仿宋_GB2312" w:hAnsi="Times New Roman" w:cs="Wingdings" w:hint="eastAsia"/>
          <w:sz w:val="32"/>
          <w:szCs w:val="32"/>
        </w:rPr>
        <w:t>99.84</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w:t>
      </w: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E77C63">
      <w:pPr>
        <w:adjustRightInd w:val="0"/>
        <w:snapToGrid w:val="0"/>
        <w:spacing w:line="600" w:lineRule="exact"/>
        <w:ind w:firstLineChars="200" w:firstLine="640"/>
        <w:rPr>
          <w:rFonts w:ascii="仿宋_GB2312" w:eastAsia="仿宋_GB2312" w:hAnsi="Times New Roman" w:cs="Wingdings"/>
          <w:sz w:val="32"/>
          <w:szCs w:val="32"/>
        </w:rPr>
      </w:pPr>
    </w:p>
    <w:p w:rsidR="00E77C63" w:rsidRDefault="00720BDD">
      <w:pPr>
        <w:adjustRightInd w:val="0"/>
        <w:snapToGrid w:val="0"/>
        <w:spacing w:line="600" w:lineRule="exact"/>
        <w:ind w:firstLineChars="100" w:firstLine="321"/>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lastRenderedPageBreak/>
        <w:t>（四）一般公共预算基本支出决算情况说明</w:t>
      </w:r>
    </w:p>
    <w:p w:rsidR="00E77C63" w:rsidRDefault="00720BD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 xml:space="preserve">2020 </w:t>
      </w:r>
      <w:r>
        <w:rPr>
          <w:rFonts w:ascii="仿宋_GB2312" w:eastAsia="仿宋_GB2312" w:hAnsi="Times New Roman" w:cs="Wingdings" w:hint="eastAsia"/>
          <w:sz w:val="32"/>
          <w:szCs w:val="32"/>
        </w:rPr>
        <w:t>年度财政拨款基本支出</w:t>
      </w:r>
      <w:r>
        <w:rPr>
          <w:rFonts w:ascii="仿宋_GB2312" w:eastAsia="仿宋_GB2312" w:hAnsi="Times New Roman" w:cs="Wingdings" w:hint="eastAsia"/>
          <w:sz w:val="32"/>
          <w:szCs w:val="32"/>
        </w:rPr>
        <w:t>975.60</w:t>
      </w:r>
      <w:r>
        <w:rPr>
          <w:rFonts w:ascii="仿宋_GB2312" w:eastAsia="仿宋_GB2312" w:hAnsi="Times New Roman" w:cs="Wingdings" w:hint="eastAsia"/>
          <w:sz w:val="32"/>
          <w:szCs w:val="32"/>
        </w:rPr>
        <w:t>万元，其中：</w:t>
      </w:r>
      <w:r>
        <w:rPr>
          <w:rFonts w:ascii="仿宋_GB2312" w:eastAsia="仿宋_GB2312" w:hAnsi="Times New Roman" w:cs="Wingdings" w:hint="eastAsia"/>
          <w:sz w:val="32"/>
          <w:szCs w:val="32"/>
        </w:rPr>
        <w:t>人员经费</w:t>
      </w:r>
      <w:r>
        <w:rPr>
          <w:rFonts w:ascii="仿宋_GB2312" w:eastAsia="仿宋_GB2312" w:hAnsi="Times New Roman" w:cs="Wingdings" w:hint="eastAsia"/>
          <w:sz w:val="32"/>
          <w:szCs w:val="32"/>
        </w:rPr>
        <w:t>975.60</w:t>
      </w:r>
      <w:r>
        <w:rPr>
          <w:rFonts w:ascii="仿宋_GB2312" w:eastAsia="仿宋_GB2312" w:hAnsi="Times New Roman" w:cs="Wingdings" w:hint="eastAsia"/>
          <w:sz w:val="32"/>
          <w:szCs w:val="32"/>
        </w:rPr>
        <w:t>万元，主要</w:t>
      </w:r>
      <w:r>
        <w:rPr>
          <w:rFonts w:ascii="仿宋_GB2312" w:eastAsia="仿宋_GB2312" w:hAnsi="Times New Roman" w:cs="Wingdings" w:hint="eastAsia"/>
          <w:sz w:val="32"/>
          <w:szCs w:val="32"/>
        </w:rPr>
        <w:t>包括</w:t>
      </w:r>
      <w:r>
        <w:rPr>
          <w:rFonts w:ascii="仿宋_GB2312" w:eastAsia="仿宋_GB2312" w:hAnsi="Times New Roman" w:cs="Wingdings" w:hint="eastAsia"/>
          <w:sz w:val="32"/>
          <w:szCs w:val="32"/>
        </w:rPr>
        <w:t>基本工资</w:t>
      </w:r>
      <w:r>
        <w:rPr>
          <w:rFonts w:ascii="仿宋_GB2312" w:eastAsia="仿宋_GB2312" w:hAnsi="Times New Roman" w:cs="Wingdings" w:hint="eastAsia"/>
          <w:sz w:val="32"/>
          <w:szCs w:val="32"/>
        </w:rPr>
        <w:t>729</w:t>
      </w:r>
      <w:r>
        <w:rPr>
          <w:rFonts w:ascii="仿宋_GB2312" w:eastAsia="仿宋_GB2312" w:hAnsi="Times New Roman" w:cs="Wingdings" w:hint="eastAsia"/>
          <w:sz w:val="32"/>
          <w:szCs w:val="32"/>
        </w:rPr>
        <w:t>万元</w:t>
      </w:r>
      <w:r>
        <w:rPr>
          <w:rFonts w:ascii="仿宋_GB2312" w:eastAsia="仿宋_GB2312" w:hAnsi="Times New Roman" w:cs="Wingdings" w:hint="eastAsia"/>
          <w:sz w:val="32"/>
          <w:szCs w:val="32"/>
        </w:rPr>
        <w:t>、奖金</w:t>
      </w:r>
      <w:r>
        <w:rPr>
          <w:rFonts w:ascii="仿宋_GB2312" w:eastAsia="仿宋_GB2312" w:hAnsi="Times New Roman" w:cs="Wingdings" w:hint="eastAsia"/>
          <w:sz w:val="32"/>
          <w:szCs w:val="32"/>
        </w:rPr>
        <w:t>244.68</w:t>
      </w:r>
      <w:r>
        <w:rPr>
          <w:rFonts w:ascii="仿宋_GB2312" w:eastAsia="仿宋_GB2312" w:hAnsi="Times New Roman" w:cs="Wingdings" w:hint="eastAsia"/>
          <w:sz w:val="32"/>
          <w:szCs w:val="32"/>
        </w:rPr>
        <w:t>万元</w:t>
      </w:r>
      <w:r>
        <w:rPr>
          <w:rFonts w:ascii="仿宋_GB2312" w:eastAsia="仿宋_GB2312" w:hAnsi="Times New Roman" w:cs="Wingdings" w:hint="eastAsia"/>
          <w:sz w:val="32"/>
          <w:szCs w:val="32"/>
        </w:rPr>
        <w:t>、离休费</w:t>
      </w:r>
      <w:r>
        <w:rPr>
          <w:rFonts w:ascii="仿宋_GB2312" w:eastAsia="仿宋_GB2312" w:hAnsi="Times New Roman" w:cs="Wingdings" w:hint="eastAsia"/>
          <w:sz w:val="32"/>
          <w:szCs w:val="32"/>
        </w:rPr>
        <w:t>1.92</w:t>
      </w:r>
      <w:r>
        <w:rPr>
          <w:rFonts w:ascii="仿宋_GB2312" w:eastAsia="仿宋_GB2312" w:hAnsi="Times New Roman" w:cs="Wingdings" w:hint="eastAsia"/>
          <w:sz w:val="32"/>
          <w:szCs w:val="32"/>
        </w:rPr>
        <w:t>万元</w:t>
      </w:r>
      <w:r>
        <w:rPr>
          <w:rFonts w:ascii="仿宋_GB2312" w:eastAsia="仿宋_GB2312" w:hAnsi="Times New Roman" w:cs="Wingdings" w:hint="eastAsia"/>
          <w:sz w:val="32"/>
          <w:szCs w:val="32"/>
        </w:rPr>
        <w:t>。</w:t>
      </w:r>
    </w:p>
    <w:p w:rsidR="00E77C63" w:rsidRDefault="00720BDD">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w:t>
      </w:r>
      <w:r>
        <w:rPr>
          <w:rFonts w:ascii="黑体" w:eastAsia="黑体" w:hAnsi="Calibri" w:cs="Times New Roman" w:hint="eastAsia"/>
          <w:sz w:val="32"/>
          <w:szCs w:val="32"/>
        </w:rPr>
        <w:t xml:space="preserve"> </w:t>
      </w:r>
      <w:r>
        <w:rPr>
          <w:rFonts w:ascii="黑体" w:eastAsia="黑体" w:hAnsi="Calibri" w:cs="Times New Roman" w:hint="eastAsia"/>
          <w:sz w:val="32"/>
          <w:szCs w:val="32"/>
        </w:rPr>
        <w:t>经费支出决算情况说明</w:t>
      </w:r>
    </w:p>
    <w:p w:rsidR="00E77C63" w:rsidRDefault="00720BDD">
      <w:pPr>
        <w:adjustRightInd w:val="0"/>
        <w:snapToGrid w:val="0"/>
        <w:spacing w:line="600" w:lineRule="exact"/>
        <w:ind w:firstLineChars="200" w:firstLine="643"/>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（一）“三公”经费财政拨款支出决算总体情况说明</w:t>
      </w:r>
    </w:p>
    <w:p w:rsidR="00E77C63" w:rsidRDefault="00720BD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张家口市第四医院</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年度“三公”经费财政拨款支出预算为</w:t>
      </w:r>
      <w:r>
        <w:rPr>
          <w:rFonts w:ascii="仿宋_GB2312" w:eastAsia="仿宋_GB2312" w:hAnsi="Times New Roman" w:cs="Wingdings" w:hint="eastAsia"/>
          <w:sz w:val="32"/>
          <w:szCs w:val="32"/>
        </w:rPr>
        <w:t>12</w:t>
      </w:r>
      <w:r>
        <w:rPr>
          <w:rFonts w:ascii="仿宋_GB2312" w:eastAsia="仿宋_GB2312" w:hAnsi="Times New Roman" w:cs="Wingdings" w:hint="eastAsia"/>
          <w:sz w:val="32"/>
          <w:szCs w:val="32"/>
        </w:rPr>
        <w:t>万元，支出决算为</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元，完成预算的</w:t>
      </w:r>
      <w:r>
        <w:rPr>
          <w:rFonts w:ascii="仿宋_GB2312" w:eastAsia="仿宋_GB2312" w:hAnsi="Times New Roman" w:cs="Wingdings" w:hint="eastAsia"/>
          <w:sz w:val="32"/>
          <w:szCs w:val="32"/>
        </w:rPr>
        <w:t>0.00</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较预算减少</w:t>
      </w:r>
      <w:r>
        <w:rPr>
          <w:rFonts w:ascii="仿宋_GB2312" w:eastAsia="仿宋_GB2312" w:hAnsi="Times New Roman" w:cs="Wingdings" w:hint="eastAsia"/>
          <w:sz w:val="32"/>
          <w:szCs w:val="32"/>
        </w:rPr>
        <w:t>12</w:t>
      </w:r>
      <w:r>
        <w:rPr>
          <w:rFonts w:ascii="仿宋_GB2312" w:eastAsia="仿宋_GB2312" w:hAnsi="Times New Roman" w:cs="Wingdings" w:hint="eastAsia"/>
          <w:sz w:val="32"/>
          <w:szCs w:val="32"/>
        </w:rPr>
        <w:t>万元，降低</w:t>
      </w:r>
      <w:r>
        <w:rPr>
          <w:rFonts w:ascii="仿宋_GB2312" w:eastAsia="仿宋_GB2312" w:hAnsi="Times New Roman" w:cs="Wingdings" w:hint="eastAsia"/>
          <w:sz w:val="32"/>
          <w:szCs w:val="32"/>
        </w:rPr>
        <w:t>100</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，主要是</w:t>
      </w:r>
      <w:r>
        <w:rPr>
          <w:rFonts w:ascii="仿宋_GB2312" w:eastAsia="仿宋_GB2312" w:hAnsi="Times New Roman" w:cs="Wingdings" w:hint="eastAsia"/>
          <w:sz w:val="32"/>
          <w:szCs w:val="32"/>
        </w:rPr>
        <w:t>本年度未发生“三公”经费支出</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与</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年度</w:t>
      </w:r>
      <w:r>
        <w:rPr>
          <w:rFonts w:ascii="仿宋_GB2312" w:eastAsia="仿宋_GB2312" w:hAnsi="Times New Roman" w:cs="Wingdings" w:hint="eastAsia"/>
          <w:sz w:val="32"/>
          <w:szCs w:val="32"/>
        </w:rPr>
        <w:t>决算支出持平</w:t>
      </w:r>
      <w:r>
        <w:rPr>
          <w:rFonts w:ascii="仿宋_GB2312" w:eastAsia="仿宋_GB2312" w:hAnsi="Times New Roman" w:cs="Wingdings" w:hint="eastAsia"/>
          <w:sz w:val="32"/>
          <w:szCs w:val="32"/>
        </w:rPr>
        <w:t>。</w:t>
      </w:r>
    </w:p>
    <w:p w:rsidR="00E77C63" w:rsidRDefault="00720BDD">
      <w:pPr>
        <w:adjustRightInd w:val="0"/>
        <w:snapToGrid w:val="0"/>
        <w:spacing w:line="600" w:lineRule="exact"/>
        <w:ind w:firstLineChars="200" w:firstLine="643"/>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（二）“三公”经费财政拨款支出决算具体情况说明</w:t>
      </w:r>
    </w:p>
    <w:p w:rsidR="00E77C63" w:rsidRDefault="00720BDD">
      <w:pPr>
        <w:adjustRightInd w:val="0"/>
        <w:snapToGrid w:val="0"/>
        <w:spacing w:line="600" w:lineRule="exact"/>
        <w:ind w:firstLineChars="200" w:firstLine="643"/>
        <w:rPr>
          <w:rFonts w:ascii="仿宋_GB2312" w:eastAsia="仿宋_GB2312" w:hAnsi="Times New Roman" w:cs="Wingdings"/>
          <w:sz w:val="32"/>
          <w:szCs w:val="32"/>
        </w:rPr>
      </w:pPr>
      <w:r>
        <w:rPr>
          <w:rFonts w:ascii="楷体_GB2312" w:eastAsia="楷体_GB2312" w:hAnsi="Times New Roman" w:cs="Mongolian Baiti" w:hint="eastAsia"/>
          <w:b/>
          <w:bCs/>
          <w:sz w:val="32"/>
          <w:szCs w:val="32"/>
        </w:rPr>
        <w:t>1.</w:t>
      </w:r>
      <w:r>
        <w:rPr>
          <w:rFonts w:ascii="楷体_GB2312" w:eastAsia="楷体_GB2312" w:hAnsi="Times New Roman" w:cs="Mongolian Baiti" w:hint="eastAsia"/>
          <w:b/>
          <w:bCs/>
          <w:sz w:val="32"/>
          <w:szCs w:val="32"/>
        </w:rPr>
        <w:t>因公出国（境）费</w:t>
      </w:r>
      <w:r>
        <w:rPr>
          <w:rFonts w:ascii="楷体_GB2312" w:eastAsia="楷体_GB2312" w:hAnsi="Times New Roman" w:cs="Mongolian Baiti" w:hint="eastAsia"/>
          <w:b/>
          <w:bCs/>
          <w:sz w:val="32"/>
          <w:szCs w:val="32"/>
        </w:rPr>
        <w:t>。</w:t>
      </w: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年因公出国（境）费</w:t>
      </w:r>
      <w:r>
        <w:rPr>
          <w:rFonts w:ascii="仿宋_GB2312" w:eastAsia="仿宋_GB2312" w:hAnsi="仿宋_GB2312" w:cs="仿宋_GB2312" w:hint="eastAsia"/>
          <w:sz w:val="32"/>
          <w:szCs w:val="32"/>
        </w:rPr>
        <w:t>支出</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万元，因公出国（境）费支</w:t>
      </w:r>
      <w:r>
        <w:rPr>
          <w:rFonts w:ascii="仿宋_GB2312" w:eastAsia="仿宋_GB2312" w:hAnsi="Times New Roman" w:cs="Wingdings" w:hint="eastAsia"/>
          <w:sz w:val="32"/>
          <w:szCs w:val="32"/>
        </w:rPr>
        <w:t>出与年初预算持平</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因公出国（境）团组</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个、共</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人、参加其他单位组织的因公出国（境）团组</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个、共</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人</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无本单位组织的出国（境）团组。因公出国（境）费支出与年初预算持平</w:t>
      </w:r>
      <w:r>
        <w:rPr>
          <w:rFonts w:ascii="仿宋_GB2312" w:eastAsia="仿宋_GB2312" w:hAnsi="Times New Roman" w:cs="Wingdings" w:hint="eastAsia"/>
          <w:sz w:val="32"/>
          <w:szCs w:val="32"/>
        </w:rPr>
        <w:t>；与</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年度</w:t>
      </w:r>
      <w:r>
        <w:rPr>
          <w:rFonts w:ascii="仿宋_GB2312" w:eastAsia="仿宋_GB2312" w:hAnsi="Times New Roman" w:cs="Wingdings" w:hint="eastAsia"/>
          <w:sz w:val="32"/>
          <w:szCs w:val="32"/>
        </w:rPr>
        <w:t>决算支出持平</w:t>
      </w:r>
      <w:r>
        <w:rPr>
          <w:rFonts w:ascii="仿宋_GB2312" w:eastAsia="仿宋_GB2312" w:hAnsi="Times New Roman" w:cs="Wingdings" w:hint="eastAsia"/>
          <w:sz w:val="32"/>
          <w:szCs w:val="32"/>
        </w:rPr>
        <w:t>。</w:t>
      </w:r>
    </w:p>
    <w:p w:rsidR="00E77C63" w:rsidRDefault="00720BDD">
      <w:pPr>
        <w:adjustRightInd w:val="0"/>
        <w:snapToGrid w:val="0"/>
        <w:spacing w:line="600" w:lineRule="exact"/>
        <w:ind w:firstLineChars="200" w:firstLine="643"/>
        <w:rPr>
          <w:rFonts w:ascii="仿宋_GB2312" w:eastAsia="仿宋_GB2312" w:hAnsi="Times New Roman" w:cs="Mongolian Baiti"/>
          <w:b/>
          <w:bCs/>
          <w:sz w:val="32"/>
          <w:szCs w:val="32"/>
        </w:rPr>
      </w:pPr>
      <w:r>
        <w:rPr>
          <w:rFonts w:ascii="楷体_GB2312" w:eastAsia="楷体_GB2312" w:hAnsi="Times New Roman" w:cs="Mongolian Baiti" w:hint="eastAsia"/>
          <w:b/>
          <w:bCs/>
          <w:sz w:val="32"/>
          <w:szCs w:val="32"/>
        </w:rPr>
        <w:t>2.</w:t>
      </w:r>
      <w:r>
        <w:rPr>
          <w:rFonts w:ascii="楷体_GB2312" w:eastAsia="楷体_GB2312" w:hAnsi="Times New Roman" w:cs="Mongolian Baiti" w:hint="eastAsia"/>
          <w:b/>
          <w:bCs/>
          <w:sz w:val="32"/>
          <w:szCs w:val="32"/>
        </w:rPr>
        <w:t>公务用车购置及运行维护费</w:t>
      </w:r>
      <w:r>
        <w:rPr>
          <w:rFonts w:ascii="楷体_GB2312" w:eastAsia="楷体_GB2312" w:hAnsi="Times New Roman" w:cs="Mongolian Baiti" w:hint="eastAsia"/>
          <w:b/>
          <w:bCs/>
          <w:sz w:val="32"/>
          <w:szCs w:val="32"/>
        </w:rPr>
        <w:t>。</w:t>
      </w: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公务用车购置及运行维护费</w:t>
      </w:r>
      <w:r>
        <w:rPr>
          <w:rFonts w:ascii="仿宋_GB2312" w:eastAsia="仿宋_GB2312" w:hAnsi="仿宋_GB2312" w:cs="仿宋_GB2312" w:hint="eastAsia"/>
          <w:sz w:val="32"/>
          <w:szCs w:val="32"/>
        </w:rPr>
        <w:t>支出</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万元，完成预算的</w:t>
      </w:r>
      <w:r>
        <w:rPr>
          <w:rFonts w:ascii="仿宋_GB2312" w:eastAsia="仿宋_GB2312" w:hAnsi="仿宋_GB2312" w:cs="仿宋_GB2312" w:hint="eastAsia"/>
          <w:sz w:val="32"/>
          <w:szCs w:val="32"/>
        </w:rPr>
        <w:t>0.00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较预算减少</w:t>
      </w:r>
      <w:r>
        <w:rPr>
          <w:rFonts w:ascii="仿宋_GB2312" w:eastAsia="仿宋_GB2312" w:hAnsi="Times New Roman" w:cs="Wingdings" w:hint="eastAsia"/>
          <w:sz w:val="32"/>
          <w:szCs w:val="32"/>
        </w:rPr>
        <w:t>10</w:t>
      </w:r>
      <w:r>
        <w:rPr>
          <w:rFonts w:ascii="仿宋_GB2312" w:eastAsia="仿宋_GB2312" w:hAnsi="Times New Roman" w:cs="Wingdings" w:hint="eastAsia"/>
          <w:sz w:val="32"/>
          <w:szCs w:val="32"/>
        </w:rPr>
        <w:t>万元，降低</w:t>
      </w:r>
      <w:r>
        <w:rPr>
          <w:rFonts w:ascii="仿宋_GB2312" w:eastAsia="仿宋_GB2312" w:hAnsi="Times New Roman" w:cs="Wingdings" w:hint="eastAsia"/>
          <w:sz w:val="32"/>
          <w:szCs w:val="32"/>
        </w:rPr>
        <w:t>100</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主要是</w:t>
      </w:r>
      <w:r>
        <w:rPr>
          <w:rFonts w:ascii="仿宋_GB2312" w:eastAsia="仿宋_GB2312" w:hAnsi="Times New Roman" w:cs="Wingdings" w:hint="eastAsia"/>
          <w:sz w:val="32"/>
          <w:szCs w:val="32"/>
        </w:rPr>
        <w:t>本年度未发生“公务用车购置及运行维护费”经费支出；与</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年度</w:t>
      </w:r>
      <w:r>
        <w:rPr>
          <w:rFonts w:ascii="仿宋_GB2312" w:eastAsia="仿宋_GB2312" w:hAnsi="Times New Roman" w:cs="Wingdings" w:hint="eastAsia"/>
          <w:sz w:val="32"/>
          <w:szCs w:val="32"/>
        </w:rPr>
        <w:t>决算支出持平</w:t>
      </w:r>
      <w:r>
        <w:rPr>
          <w:rFonts w:ascii="仿宋_GB2312" w:eastAsia="仿宋_GB2312" w:hAnsi="Times New Roman" w:cs="Wingdings" w:hint="eastAsia"/>
          <w:sz w:val="32"/>
          <w:szCs w:val="32"/>
        </w:rPr>
        <w:t>。</w:t>
      </w:r>
      <w:r>
        <w:rPr>
          <w:rFonts w:ascii="仿宋_GB2312" w:eastAsia="仿宋_GB2312" w:hAnsi="Times New Roman" w:cs="Mongolian Baiti" w:hint="eastAsia"/>
          <w:b/>
          <w:bCs/>
          <w:sz w:val="32"/>
          <w:szCs w:val="32"/>
        </w:rPr>
        <w:t>其</w:t>
      </w:r>
      <w:r>
        <w:rPr>
          <w:rFonts w:ascii="仿宋_GB2312" w:eastAsia="仿宋_GB2312" w:hAnsi="Times New Roman" w:cs="Mongolian Baiti" w:hint="eastAsia"/>
          <w:b/>
          <w:bCs/>
          <w:sz w:val="32"/>
          <w:szCs w:val="32"/>
        </w:rPr>
        <w:lastRenderedPageBreak/>
        <w:t>中：</w:t>
      </w:r>
    </w:p>
    <w:p w:rsidR="00E77C63" w:rsidRDefault="00720BDD">
      <w:pPr>
        <w:adjustRightInd w:val="0"/>
        <w:snapToGrid w:val="0"/>
        <w:spacing w:line="600" w:lineRule="exact"/>
        <w:ind w:firstLineChars="200" w:firstLine="643"/>
        <w:rPr>
          <w:rFonts w:ascii="仿宋_GB2312" w:eastAsia="仿宋_GB2312" w:hAnsi="Times New Roman" w:cs="Wingdings"/>
          <w:sz w:val="32"/>
          <w:szCs w:val="32"/>
        </w:rPr>
      </w:pPr>
      <w:r>
        <w:rPr>
          <w:rFonts w:ascii="仿宋_GB2312" w:eastAsia="仿宋_GB2312" w:hAnsi="Times New Roman" w:cs="Wingdings" w:hint="eastAsia"/>
          <w:b/>
          <w:sz w:val="32"/>
          <w:szCs w:val="32"/>
        </w:rPr>
        <w:t>公务用车购置费支出：</w:t>
      </w:r>
      <w:r>
        <w:rPr>
          <w:rFonts w:ascii="仿宋_GB2312" w:eastAsia="仿宋_GB2312" w:hAnsi="Times New Roman" w:cs="Wingdings" w:hint="eastAsia"/>
          <w:sz w:val="32"/>
          <w:szCs w:val="32"/>
        </w:rPr>
        <w:t>张家口市第四医院</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年度公务用车购置量</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辆，发生“公务用车购置”经费支出</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万元。公务用车购置费支出与年初预算持平；</w:t>
      </w:r>
      <w:r>
        <w:rPr>
          <w:rFonts w:ascii="仿宋_GB2312" w:eastAsia="仿宋_GB2312" w:hAnsi="Times New Roman" w:cs="Wingdings" w:hint="eastAsia"/>
          <w:sz w:val="32"/>
          <w:szCs w:val="32"/>
        </w:rPr>
        <w:t>与</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年度</w:t>
      </w:r>
      <w:r>
        <w:rPr>
          <w:rFonts w:ascii="仿宋_GB2312" w:eastAsia="仿宋_GB2312" w:hAnsi="Times New Roman" w:cs="Wingdings" w:hint="eastAsia"/>
          <w:sz w:val="32"/>
          <w:szCs w:val="32"/>
        </w:rPr>
        <w:t>决算支出持平</w:t>
      </w:r>
      <w:r>
        <w:rPr>
          <w:rFonts w:ascii="仿宋_GB2312" w:eastAsia="仿宋_GB2312" w:hAnsi="Times New Roman" w:cs="Wingdings" w:hint="eastAsia"/>
          <w:sz w:val="32"/>
          <w:szCs w:val="32"/>
        </w:rPr>
        <w:t>。</w:t>
      </w:r>
    </w:p>
    <w:p w:rsidR="00E77C63" w:rsidRDefault="00720BDD">
      <w:pPr>
        <w:adjustRightInd w:val="0"/>
        <w:snapToGrid w:val="0"/>
        <w:spacing w:line="600" w:lineRule="exact"/>
        <w:ind w:firstLineChars="200" w:firstLine="643"/>
        <w:rPr>
          <w:rFonts w:ascii="仿宋_GB2312" w:eastAsia="仿宋_GB2312" w:hAnsi="Times New Roman" w:cs="Wingdings"/>
          <w:sz w:val="32"/>
          <w:szCs w:val="32"/>
        </w:rPr>
      </w:pPr>
      <w:r>
        <w:rPr>
          <w:rFonts w:ascii="仿宋_GB2312" w:eastAsia="仿宋_GB2312" w:hAnsi="Times New Roman" w:cs="Wingdings" w:hint="eastAsia"/>
          <w:b/>
          <w:sz w:val="32"/>
          <w:szCs w:val="32"/>
        </w:rPr>
        <w:t>公务用车运行维护费支出：</w:t>
      </w:r>
      <w:r>
        <w:rPr>
          <w:rFonts w:ascii="仿宋_GB2312" w:eastAsia="仿宋_GB2312" w:hAnsi="Times New Roman" w:cs="Wingdings" w:hint="eastAsia"/>
          <w:sz w:val="32"/>
          <w:szCs w:val="32"/>
        </w:rPr>
        <w:t>张家口市第四医院</w:t>
      </w:r>
      <w:r>
        <w:rPr>
          <w:rFonts w:ascii="仿宋_GB2312" w:eastAsia="仿宋_GB2312" w:hAnsi="Times New Roman" w:cs="Wingdings" w:hint="eastAsia"/>
          <w:sz w:val="32"/>
          <w:szCs w:val="32"/>
        </w:rPr>
        <w:t>2020</w:t>
      </w:r>
      <w:r>
        <w:rPr>
          <w:rFonts w:ascii="仿宋_GB2312" w:eastAsia="仿宋_GB2312" w:hAnsi="Times New Roman" w:cs="Wingdings" w:hint="eastAsia"/>
          <w:sz w:val="32"/>
          <w:szCs w:val="32"/>
        </w:rPr>
        <w:t>年度单位公务用车保有量</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辆</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发生运行维护费支出</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w:t>
      </w:r>
      <w:r>
        <w:rPr>
          <w:rFonts w:ascii="仿宋_GB2312" w:eastAsia="仿宋_GB2312" w:hAnsi="Times New Roman" w:cs="Wingdings" w:hint="eastAsia"/>
          <w:sz w:val="32"/>
          <w:szCs w:val="32"/>
        </w:rPr>
        <w:t>。公车运行维护费支出较预算减少</w:t>
      </w:r>
      <w:r>
        <w:rPr>
          <w:rFonts w:ascii="仿宋_GB2312" w:eastAsia="仿宋_GB2312" w:hAnsi="Times New Roman" w:cs="Wingdings" w:hint="eastAsia"/>
          <w:sz w:val="32"/>
          <w:szCs w:val="32"/>
        </w:rPr>
        <w:t>10</w:t>
      </w:r>
      <w:r>
        <w:rPr>
          <w:rFonts w:ascii="仿宋_GB2312" w:eastAsia="仿宋_GB2312" w:hAnsi="Times New Roman" w:cs="Wingdings" w:hint="eastAsia"/>
          <w:sz w:val="32"/>
          <w:szCs w:val="32"/>
        </w:rPr>
        <w:t>万元，降低</w:t>
      </w:r>
      <w:r>
        <w:rPr>
          <w:rFonts w:ascii="仿宋_GB2312" w:eastAsia="仿宋_GB2312" w:hAnsi="Times New Roman" w:cs="Wingdings" w:hint="eastAsia"/>
          <w:sz w:val="32"/>
          <w:szCs w:val="32"/>
        </w:rPr>
        <w:t>100</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主要是</w:t>
      </w:r>
      <w:r>
        <w:rPr>
          <w:rFonts w:ascii="仿宋_GB2312" w:eastAsia="仿宋_GB2312" w:hAnsi="Times New Roman" w:cs="Wingdings" w:hint="eastAsia"/>
          <w:sz w:val="32"/>
          <w:szCs w:val="32"/>
        </w:rPr>
        <w:t>本年度未发生公务用车运行维护费支出</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与</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年度</w:t>
      </w:r>
      <w:r>
        <w:rPr>
          <w:rFonts w:ascii="仿宋_GB2312" w:eastAsia="仿宋_GB2312" w:hAnsi="Times New Roman" w:cs="Wingdings" w:hint="eastAsia"/>
          <w:sz w:val="32"/>
          <w:szCs w:val="32"/>
        </w:rPr>
        <w:t>决算支出持平</w:t>
      </w:r>
      <w:r>
        <w:rPr>
          <w:rFonts w:ascii="仿宋_GB2312" w:eastAsia="仿宋_GB2312" w:hAnsi="Times New Roman" w:cs="Wingdings" w:hint="eastAsia"/>
          <w:sz w:val="32"/>
          <w:szCs w:val="32"/>
        </w:rPr>
        <w:t>。</w:t>
      </w:r>
    </w:p>
    <w:p w:rsidR="00E77C63" w:rsidRDefault="00720BDD">
      <w:pPr>
        <w:adjustRightInd w:val="0"/>
        <w:snapToGrid w:val="0"/>
        <w:spacing w:line="600" w:lineRule="exact"/>
        <w:ind w:firstLineChars="200" w:firstLine="643"/>
        <w:rPr>
          <w:rFonts w:ascii="仿宋_GB2312" w:eastAsia="仿宋_GB2312" w:hAnsi="Times New Roman" w:cs="Wingdings"/>
          <w:sz w:val="32"/>
          <w:szCs w:val="32"/>
        </w:rPr>
      </w:pPr>
      <w:r>
        <w:rPr>
          <w:rFonts w:ascii="楷体_GB2312" w:eastAsia="楷体_GB2312" w:hAnsi="Times New Roman" w:cs="Mongolian Baiti" w:hint="eastAsia"/>
          <w:b/>
          <w:bCs/>
          <w:sz w:val="32"/>
          <w:szCs w:val="32"/>
        </w:rPr>
        <w:t>3.</w:t>
      </w:r>
      <w:r>
        <w:rPr>
          <w:rFonts w:ascii="楷体_GB2312" w:eastAsia="楷体_GB2312" w:hAnsi="Times New Roman" w:cs="Mongolian Baiti" w:hint="eastAsia"/>
          <w:b/>
          <w:bCs/>
          <w:sz w:val="32"/>
          <w:szCs w:val="32"/>
        </w:rPr>
        <w:t>公务接待费</w:t>
      </w:r>
      <w:r>
        <w:rPr>
          <w:rFonts w:ascii="楷体_GB2312" w:eastAsia="楷体_GB2312" w:hAnsi="Times New Roman" w:cs="Mongolian Baiti" w:hint="eastAsia"/>
          <w:b/>
          <w:bCs/>
          <w:sz w:val="32"/>
          <w:szCs w:val="32"/>
        </w:rPr>
        <w:t>。</w:t>
      </w: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年公务</w:t>
      </w:r>
      <w:r>
        <w:rPr>
          <w:rFonts w:ascii="仿宋_GB2312" w:eastAsia="仿宋_GB2312" w:hAnsi="仿宋_GB2312" w:cs="仿宋_GB2312" w:hint="eastAsia"/>
          <w:sz w:val="32"/>
          <w:szCs w:val="32"/>
        </w:rPr>
        <w:t>接待</w:t>
      </w:r>
      <w:r>
        <w:rPr>
          <w:rFonts w:ascii="仿宋_GB2312" w:eastAsia="仿宋_GB2312" w:hAnsi="仿宋_GB2312" w:cs="仿宋_GB2312" w:hint="eastAsia"/>
          <w:sz w:val="32"/>
          <w:szCs w:val="32"/>
        </w:rPr>
        <w:t>费支出</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万元，完成预算的</w:t>
      </w:r>
      <w:r>
        <w:rPr>
          <w:rFonts w:ascii="仿宋_GB2312" w:eastAsia="仿宋_GB2312" w:hAnsi="仿宋_GB2312" w:cs="仿宋_GB2312" w:hint="eastAsia"/>
          <w:sz w:val="32"/>
          <w:szCs w:val="32"/>
        </w:rPr>
        <w:t>0.00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发生</w:t>
      </w:r>
      <w:r>
        <w:rPr>
          <w:rFonts w:ascii="仿宋_GB2312" w:eastAsia="仿宋_GB2312" w:hAnsi="Times New Roman" w:cs="Wingdings" w:hint="eastAsia"/>
          <w:sz w:val="32"/>
          <w:szCs w:val="32"/>
        </w:rPr>
        <w:t>公务接待共</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批次、</w:t>
      </w:r>
      <w:r>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人次。公务接待费支出较预算减少</w:t>
      </w:r>
      <w:r>
        <w:rPr>
          <w:rFonts w:ascii="仿宋_GB2312" w:eastAsia="仿宋_GB2312" w:hAnsi="Times New Roman" w:cs="Wingdings" w:hint="eastAsia"/>
          <w:sz w:val="32"/>
          <w:szCs w:val="32"/>
        </w:rPr>
        <w:t>2</w:t>
      </w:r>
      <w:r>
        <w:rPr>
          <w:rFonts w:ascii="仿宋_GB2312" w:eastAsia="仿宋_GB2312" w:hAnsi="Times New Roman" w:cs="Wingdings" w:hint="eastAsia"/>
          <w:sz w:val="32"/>
          <w:szCs w:val="32"/>
        </w:rPr>
        <w:t>万元，降低</w:t>
      </w:r>
      <w:r>
        <w:rPr>
          <w:rFonts w:ascii="仿宋_GB2312" w:eastAsia="仿宋_GB2312" w:hAnsi="Times New Roman" w:cs="Wingdings" w:hint="eastAsia"/>
          <w:sz w:val="32"/>
          <w:szCs w:val="32"/>
        </w:rPr>
        <w:t>100</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主要是</w:t>
      </w:r>
      <w:r>
        <w:rPr>
          <w:rFonts w:ascii="仿宋_GB2312" w:eastAsia="仿宋_GB2312" w:hAnsi="Times New Roman" w:cs="Wingdings" w:hint="eastAsia"/>
          <w:sz w:val="32"/>
          <w:szCs w:val="32"/>
        </w:rPr>
        <w:t>本年度未发生公务接待费支出</w:t>
      </w:r>
      <w:r>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与</w:t>
      </w:r>
      <w:r>
        <w:rPr>
          <w:rFonts w:ascii="仿宋_GB2312" w:eastAsia="仿宋_GB2312" w:hAnsi="Times New Roman" w:cs="Wingdings" w:hint="eastAsia"/>
          <w:sz w:val="32"/>
          <w:szCs w:val="32"/>
        </w:rPr>
        <w:t>2019</w:t>
      </w:r>
      <w:r>
        <w:rPr>
          <w:rFonts w:ascii="仿宋_GB2312" w:eastAsia="仿宋_GB2312" w:hAnsi="Times New Roman" w:cs="Wingdings" w:hint="eastAsia"/>
          <w:sz w:val="32"/>
          <w:szCs w:val="32"/>
        </w:rPr>
        <w:t>年度</w:t>
      </w:r>
      <w:r>
        <w:rPr>
          <w:rFonts w:ascii="仿宋_GB2312" w:eastAsia="仿宋_GB2312" w:hAnsi="Times New Roman" w:cs="Wingdings" w:hint="eastAsia"/>
          <w:sz w:val="32"/>
          <w:szCs w:val="32"/>
        </w:rPr>
        <w:t>决算支出持平</w:t>
      </w:r>
      <w:r>
        <w:rPr>
          <w:rFonts w:ascii="仿宋_GB2312" w:eastAsia="仿宋_GB2312" w:hAnsi="Times New Roman" w:cs="Wingdings" w:hint="eastAsia"/>
          <w:sz w:val="32"/>
          <w:szCs w:val="32"/>
        </w:rPr>
        <w:t>。</w:t>
      </w:r>
    </w:p>
    <w:p w:rsidR="00E77C63" w:rsidRDefault="00720BDD">
      <w:pPr>
        <w:adjustRightInd w:val="0"/>
        <w:snapToGrid w:val="0"/>
        <w:spacing w:line="60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rsidR="00E77C63" w:rsidRDefault="00720BDD">
      <w:pPr>
        <w:adjustRightInd w:val="0"/>
        <w:snapToGrid w:val="0"/>
        <w:spacing w:line="60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（一）预算绩效管理工作开展情况。</w:t>
      </w:r>
    </w:p>
    <w:p w:rsidR="00E77C63" w:rsidRDefault="00720BD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w:t>
      </w: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组织对</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年度项目支出全面开展绩效自评，其中，一般公共预算一级项目</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个，共涉及资金</w:t>
      </w:r>
      <w:r>
        <w:rPr>
          <w:rFonts w:ascii="仿宋_GB2312" w:eastAsia="仿宋_GB2312" w:hAnsi="仿宋_GB2312" w:cs="仿宋_GB2312" w:hint="eastAsia"/>
          <w:sz w:val="32"/>
          <w:szCs w:val="32"/>
        </w:rPr>
        <w:t>165.37</w:t>
      </w:r>
      <w:r>
        <w:rPr>
          <w:rFonts w:ascii="仿宋_GB2312" w:eastAsia="仿宋_GB2312" w:hAnsi="仿宋_GB2312" w:cs="仿宋_GB2312" w:hint="eastAsia"/>
          <w:sz w:val="32"/>
          <w:szCs w:val="32"/>
        </w:rPr>
        <w:t>万元，占一般公共预算项目支出总额的</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p>
    <w:p w:rsidR="00E77C63" w:rsidRDefault="00720BDD">
      <w:pPr>
        <w:adjustRightInd w:val="0"/>
        <w:snapToGrid w:val="0"/>
        <w:spacing w:line="60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组织对“</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年市本级药品、耗材零差率补偿资金</w:t>
      </w:r>
      <w:r>
        <w:rPr>
          <w:rFonts w:ascii="仿宋_GB2312" w:eastAsia="仿宋_GB2312" w:hAnsi="仿宋_GB2312" w:cs="仿宋_GB2312" w:hint="eastAsia"/>
          <w:sz w:val="32"/>
          <w:szCs w:val="32"/>
        </w:rPr>
        <w:t>”一级项目开展了部门评价，涉及一般公共预算支出</w:t>
      </w:r>
      <w:r>
        <w:rPr>
          <w:rFonts w:ascii="仿宋_GB2312" w:eastAsia="仿宋_GB2312" w:hAnsi="仿宋_GB2312" w:cs="仿宋_GB2312" w:hint="eastAsia"/>
          <w:sz w:val="32"/>
          <w:szCs w:val="32"/>
        </w:rPr>
        <w:t>69.00</w:t>
      </w:r>
      <w:r>
        <w:rPr>
          <w:rFonts w:ascii="仿宋_GB2312" w:eastAsia="仿宋_GB2312" w:hAnsi="仿宋_GB2312" w:cs="仿宋_GB2312" w:hint="eastAsia"/>
          <w:sz w:val="32"/>
          <w:szCs w:val="32"/>
        </w:rPr>
        <w:t>万元。</w:t>
      </w: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专项资金运行监控依托财政信息一体化平台进行</w:t>
      </w:r>
      <w:r>
        <w:rPr>
          <w:rFonts w:ascii="仿宋_GB2312" w:eastAsia="仿宋_GB2312" w:hAnsi="仿宋_GB2312" w:cs="仿宋_GB2312" w:hint="eastAsia"/>
          <w:sz w:val="32"/>
          <w:szCs w:val="32"/>
        </w:rPr>
        <w:lastRenderedPageBreak/>
        <w:t>项目资金的事前监控，财务科根据项目资金的支持方向反馈到业务部门进行相应的规划，并加快支出进度；财务科设置专人对专项资金的收入、使用进行审核、核算以及台账记录。</w:t>
      </w:r>
      <w:r>
        <w:rPr>
          <w:rFonts w:ascii="仿宋_GB2312" w:eastAsia="仿宋_GB2312" w:hAnsi="仿宋_GB2312" w:cs="仿宋_GB2312" w:hint="eastAsia"/>
          <w:sz w:val="32"/>
          <w:szCs w:val="32"/>
        </w:rPr>
        <w:t>张家</w:t>
      </w:r>
      <w:r>
        <w:rPr>
          <w:rFonts w:ascii="仿宋_GB2312" w:eastAsia="仿宋_GB2312" w:hAnsi="仿宋_GB2312" w:cs="仿宋_GB2312" w:hint="eastAsia"/>
          <w:sz w:val="32"/>
          <w:szCs w:val="32"/>
        </w:rPr>
        <w:t>口市第四医院</w:t>
      </w:r>
      <w:r>
        <w:rPr>
          <w:rFonts w:ascii="仿宋_GB2312" w:eastAsia="仿宋_GB2312" w:hAnsi="仿宋_GB2312" w:cs="仿宋_GB2312" w:hint="eastAsia"/>
          <w:sz w:val="32"/>
          <w:szCs w:val="32"/>
        </w:rPr>
        <w:t>在专项资金的使用上严格按照规定的范围支出，符合财政、财务管理有关规定，预期目标基本能实现，项目支出进度为</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p>
    <w:p w:rsidR="00E77C63" w:rsidRDefault="00720BDD">
      <w:pPr>
        <w:adjustRightInd w:val="0"/>
        <w:snapToGrid w:val="0"/>
        <w:spacing w:line="60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w:t>
      </w:r>
      <w:r>
        <w:rPr>
          <w:rFonts w:ascii="楷体_GB2312" w:eastAsia="楷体_GB2312" w:hAnsi="楷体_GB2312" w:cs="楷体_GB2312" w:hint="eastAsia"/>
          <w:b/>
          <w:bCs/>
          <w:sz w:val="32"/>
          <w:szCs w:val="32"/>
        </w:rPr>
        <w:t xml:space="preserve"> </w:t>
      </w:r>
      <w:r>
        <w:rPr>
          <w:rFonts w:ascii="楷体_GB2312" w:eastAsia="楷体_GB2312" w:hAnsi="楷体_GB2312" w:cs="楷体_GB2312" w:hint="eastAsia"/>
          <w:b/>
          <w:bCs/>
          <w:sz w:val="32"/>
          <w:szCs w:val="32"/>
        </w:rPr>
        <w:t>部门决算中项目绩效自评结果。</w:t>
      </w:r>
    </w:p>
    <w:p w:rsidR="00E77C63" w:rsidRDefault="00720BD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在今年部门决算公开中反映</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年市本级药品、耗材零差率补偿资金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项目</w:t>
      </w:r>
      <w:r>
        <w:rPr>
          <w:rFonts w:ascii="仿宋_GB2312" w:eastAsia="仿宋_GB2312" w:hAnsi="仿宋_GB2312" w:cs="仿宋_GB2312" w:hint="eastAsia"/>
          <w:sz w:val="32"/>
          <w:szCs w:val="32"/>
        </w:rPr>
        <w:t>的</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个项目绩效自评结果。</w:t>
      </w:r>
    </w:p>
    <w:p w:rsidR="00E77C63" w:rsidRDefault="00720BDD">
      <w:pPr>
        <w:numPr>
          <w:ilvl w:val="0"/>
          <w:numId w:val="2"/>
        </w:num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年市本级药品、耗材零差率补偿资金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项目自评综述：根据年初设定的绩效目标，</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年市本级药品、耗材零差率补偿资金”</w:t>
      </w:r>
      <w:r>
        <w:rPr>
          <w:rFonts w:ascii="仿宋_GB2312" w:eastAsia="仿宋_GB2312" w:hAnsi="仿宋_GB2312" w:cs="仿宋_GB2312" w:hint="eastAsia"/>
          <w:sz w:val="32"/>
          <w:szCs w:val="32"/>
        </w:rPr>
        <w:t>项目绩效自评得分为</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分（绩效自评表附后）。全年预算数为</w:t>
      </w:r>
      <w:r>
        <w:rPr>
          <w:rFonts w:ascii="仿宋_GB2312" w:eastAsia="仿宋_GB2312" w:hAnsi="仿宋_GB2312" w:cs="仿宋_GB2312" w:hint="eastAsia"/>
          <w:sz w:val="32"/>
          <w:szCs w:val="32"/>
        </w:rPr>
        <w:t>69</w:t>
      </w:r>
      <w:r>
        <w:rPr>
          <w:rFonts w:ascii="仿宋_GB2312" w:eastAsia="仿宋_GB2312" w:hAnsi="仿宋_GB2312" w:cs="仿宋_GB2312" w:hint="eastAsia"/>
          <w:sz w:val="32"/>
          <w:szCs w:val="32"/>
        </w:rPr>
        <w:t>万元，执行数为</w:t>
      </w:r>
      <w:r>
        <w:rPr>
          <w:rFonts w:ascii="仿宋_GB2312" w:eastAsia="仿宋_GB2312" w:hAnsi="仿宋_GB2312" w:cs="仿宋_GB2312" w:hint="eastAsia"/>
          <w:sz w:val="32"/>
          <w:szCs w:val="32"/>
        </w:rPr>
        <w:t>69</w:t>
      </w:r>
      <w:r>
        <w:rPr>
          <w:rFonts w:ascii="仿宋_GB2312" w:eastAsia="仿宋_GB2312" w:hAnsi="仿宋_GB2312" w:cs="仿宋_GB2312" w:hint="eastAsia"/>
          <w:sz w:val="32"/>
          <w:szCs w:val="32"/>
        </w:rPr>
        <w:t>万元，完成预算的</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。项目绩效目标完成情况：一是</w:t>
      </w:r>
      <w:r>
        <w:rPr>
          <w:rFonts w:ascii="仿宋_GB2312" w:eastAsia="仿宋_GB2312" w:hAnsi="仿宋_GB2312" w:cs="仿宋_GB2312" w:hint="eastAsia"/>
          <w:sz w:val="32"/>
          <w:szCs w:val="32"/>
        </w:rPr>
        <w:t>药占比</w:t>
      </w:r>
      <w:r>
        <w:rPr>
          <w:rFonts w:ascii="仿宋_GB2312" w:eastAsia="仿宋_GB2312" w:hAnsi="仿宋_GB2312" w:cs="仿宋_GB2312" w:hint="eastAsia"/>
          <w:sz w:val="32"/>
          <w:szCs w:val="32"/>
        </w:rPr>
        <w:t>23.96%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完成绩效目标</w:t>
      </w:r>
      <w:r>
        <w:rPr>
          <w:rFonts w:ascii="仿宋_GB2312" w:eastAsia="仿宋_GB2312" w:hAnsi="仿宋_GB2312" w:cs="仿宋_GB2312" w:hint="eastAsia"/>
          <w:sz w:val="32"/>
          <w:szCs w:val="32"/>
        </w:rPr>
        <w:t>；二是</w:t>
      </w:r>
      <w:r>
        <w:rPr>
          <w:rFonts w:ascii="仿宋_GB2312" w:eastAsia="仿宋_GB2312" w:hAnsi="仿宋_GB2312" w:cs="仿宋_GB2312" w:hint="eastAsia"/>
          <w:sz w:val="32"/>
          <w:szCs w:val="32"/>
        </w:rPr>
        <w:t>出院患者平均住院天数</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天，</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完成绩效目标；三</w:t>
      </w:r>
      <w:r>
        <w:rPr>
          <w:rFonts w:ascii="仿宋_GB2312" w:eastAsia="仿宋_GB2312" w:hAnsi="仿宋_GB2312" w:cs="仿宋_GB2312" w:hint="eastAsia"/>
          <w:sz w:val="32"/>
          <w:szCs w:val="32"/>
        </w:rPr>
        <w:t>是</w:t>
      </w:r>
      <w:r>
        <w:rPr>
          <w:rFonts w:ascii="仿宋_GB2312" w:eastAsia="仿宋_GB2312" w:hAnsi="仿宋_GB2312" w:cs="仿宋_GB2312" w:hint="eastAsia"/>
          <w:sz w:val="32"/>
          <w:szCs w:val="32"/>
        </w:rPr>
        <w:t>病床使用率</w:t>
      </w:r>
      <w:r>
        <w:rPr>
          <w:rFonts w:ascii="仿宋_GB2312" w:eastAsia="仿宋_GB2312" w:hAnsi="仿宋_GB2312" w:cs="仿宋_GB2312" w:hint="eastAsia"/>
          <w:sz w:val="32"/>
          <w:szCs w:val="32"/>
        </w:rPr>
        <w:t>76.68%</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完成绩效目标。</w:t>
      </w:r>
    </w:p>
    <w:p w:rsidR="00E77C63" w:rsidRDefault="00720BDD">
      <w:pPr>
        <w:numPr>
          <w:ilvl w:val="0"/>
          <w:numId w:val="2"/>
        </w:num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年市本级药品、耗材零差率补偿资金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项目绩效自评综述：</w:t>
      </w:r>
      <w:r>
        <w:rPr>
          <w:rFonts w:ascii="仿宋_GB2312" w:eastAsia="仿宋_GB2312" w:hAnsi="仿宋_GB2312" w:cs="仿宋_GB2312" w:hint="eastAsia"/>
          <w:sz w:val="32"/>
          <w:szCs w:val="32"/>
        </w:rPr>
        <w:t>该项目资金的收支核算及日常监控有专人负责，项目资金从一体化平台录入开始到全部支出完毕，按照年初的计划执行，执行进度</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，该项目能有效的缓解由于取消药品加成减少收入带来的资金压力，能使医院更好的开展医疗诊疗服务</w:t>
      </w:r>
      <w:r>
        <w:rPr>
          <w:rFonts w:ascii="仿宋_GB2312" w:eastAsia="仿宋_GB2312" w:hAnsi="仿宋_GB2312" w:cs="仿宋_GB2312" w:hint="eastAsia"/>
          <w:sz w:val="32"/>
          <w:szCs w:val="32"/>
        </w:rPr>
        <w:t>。</w:t>
      </w:r>
    </w:p>
    <w:p w:rsidR="00E77C63" w:rsidRDefault="00720BDD" w:rsidP="00765B29">
      <w:pPr>
        <w:adjustRightInd w:val="0"/>
        <w:snapToGrid w:val="0"/>
        <w:spacing w:line="600" w:lineRule="exact"/>
        <w:ind w:leftChars="200" w:left="420"/>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w:t>
      </w:r>
      <w:r>
        <w:rPr>
          <w:rFonts w:ascii="楷体_GB2312" w:eastAsia="楷体_GB2312" w:hAnsi="楷体_GB2312" w:cs="楷体_GB2312" w:hint="eastAsia"/>
          <w:b/>
          <w:bCs/>
          <w:sz w:val="32"/>
          <w:szCs w:val="32"/>
        </w:rPr>
        <w:t>三）</w:t>
      </w:r>
      <w:r>
        <w:rPr>
          <w:rFonts w:ascii="楷体_GB2312" w:eastAsia="楷体_GB2312" w:hAnsi="楷体_GB2312" w:cs="楷体_GB2312" w:hint="eastAsia"/>
          <w:b/>
          <w:bCs/>
          <w:sz w:val="32"/>
          <w:szCs w:val="32"/>
        </w:rPr>
        <w:t>财政评价项目绩效评价结果</w:t>
      </w:r>
    </w:p>
    <w:tbl>
      <w:tblPr>
        <w:tblpPr w:leftFromText="180" w:rightFromText="180" w:vertAnchor="text" w:horzAnchor="page" w:tblpX="1718" w:tblpY="155"/>
        <w:tblOverlap w:val="never"/>
        <w:tblW w:w="8740" w:type="dxa"/>
        <w:tblLook w:val="04A0"/>
      </w:tblPr>
      <w:tblGrid>
        <w:gridCol w:w="1080"/>
        <w:gridCol w:w="1080"/>
        <w:gridCol w:w="1080"/>
        <w:gridCol w:w="1080"/>
        <w:gridCol w:w="1490"/>
        <w:gridCol w:w="1490"/>
        <w:gridCol w:w="1440"/>
      </w:tblGrid>
      <w:tr w:rsidR="00E77C63">
        <w:trPr>
          <w:trHeight w:val="700"/>
        </w:trPr>
        <w:tc>
          <w:tcPr>
            <w:tcW w:w="8740" w:type="dxa"/>
            <w:gridSpan w:val="7"/>
            <w:tcBorders>
              <w:top w:val="nil"/>
              <w:left w:val="nil"/>
              <w:bottom w:val="nil"/>
              <w:right w:val="nil"/>
            </w:tcBorders>
            <w:shd w:val="clear" w:color="auto" w:fill="auto"/>
            <w:vAlign w:val="center"/>
          </w:tcPr>
          <w:p w:rsidR="00E77C63" w:rsidRDefault="00720BDD">
            <w:pPr>
              <w:widowControl/>
              <w:jc w:val="center"/>
              <w:textAlignment w:val="center"/>
              <w:rPr>
                <w:rFonts w:ascii="宋体" w:eastAsia="宋体" w:hAnsi="宋体" w:cs="宋体"/>
                <w:b/>
                <w:bCs/>
                <w:color w:val="000000"/>
                <w:sz w:val="28"/>
                <w:szCs w:val="28"/>
              </w:rPr>
            </w:pPr>
            <w:r>
              <w:rPr>
                <w:rFonts w:ascii="宋体" w:eastAsia="宋体" w:hAnsi="宋体" w:cs="宋体" w:hint="eastAsia"/>
                <w:b/>
                <w:bCs/>
                <w:color w:val="000000"/>
                <w:kern w:val="0"/>
                <w:sz w:val="28"/>
                <w:szCs w:val="28"/>
                <w:lang/>
              </w:rPr>
              <w:lastRenderedPageBreak/>
              <w:t>2020</w:t>
            </w:r>
            <w:r>
              <w:rPr>
                <w:rFonts w:ascii="宋体" w:eastAsia="宋体" w:hAnsi="宋体" w:cs="宋体" w:hint="eastAsia"/>
                <w:b/>
                <w:bCs/>
                <w:color w:val="000000"/>
                <w:kern w:val="0"/>
                <w:sz w:val="28"/>
                <w:szCs w:val="28"/>
                <w:lang/>
              </w:rPr>
              <w:t>年市本级药品、耗材零差率补偿资金绩效目标自评表</w:t>
            </w:r>
          </w:p>
        </w:tc>
      </w:tr>
      <w:tr w:rsidR="00E77C63">
        <w:trPr>
          <w:trHeight w:val="300"/>
        </w:trPr>
        <w:tc>
          <w:tcPr>
            <w:tcW w:w="8740" w:type="dxa"/>
            <w:gridSpan w:val="7"/>
            <w:tcBorders>
              <w:top w:val="nil"/>
              <w:left w:val="nil"/>
              <w:bottom w:val="single" w:sz="4" w:space="0" w:color="000000"/>
              <w:right w:val="nil"/>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2020</w:t>
            </w:r>
            <w:r>
              <w:rPr>
                <w:rFonts w:ascii="宋体" w:eastAsia="宋体" w:hAnsi="宋体" w:cs="宋体" w:hint="eastAsia"/>
                <w:color w:val="000000"/>
                <w:kern w:val="0"/>
                <w:sz w:val="20"/>
                <w:szCs w:val="20"/>
                <w:lang/>
              </w:rPr>
              <w:t>年度）</w:t>
            </w:r>
          </w:p>
        </w:tc>
      </w:tr>
      <w:tr w:rsidR="00E77C63">
        <w:trPr>
          <w:trHeight w:val="300"/>
        </w:trPr>
        <w:tc>
          <w:tcPr>
            <w:tcW w:w="32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项目名称</w:t>
            </w:r>
          </w:p>
        </w:tc>
        <w:tc>
          <w:tcPr>
            <w:tcW w:w="55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2020</w:t>
            </w:r>
            <w:r>
              <w:rPr>
                <w:rFonts w:ascii="宋体" w:eastAsia="宋体" w:hAnsi="宋体" w:cs="宋体" w:hint="eastAsia"/>
                <w:color w:val="000000"/>
                <w:kern w:val="0"/>
                <w:sz w:val="20"/>
                <w:szCs w:val="20"/>
                <w:lang/>
              </w:rPr>
              <w:t>年市本级药品、耗材零差率补偿资金</w:t>
            </w:r>
          </w:p>
        </w:tc>
      </w:tr>
      <w:tr w:rsidR="00E77C63">
        <w:trPr>
          <w:trHeight w:val="520"/>
        </w:trPr>
        <w:tc>
          <w:tcPr>
            <w:tcW w:w="32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主管部门</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张家口市卫生健康委员会</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资金使用单位</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张家口市第四医院</w:t>
            </w:r>
          </w:p>
        </w:tc>
      </w:tr>
      <w:tr w:rsidR="00E77C63">
        <w:trPr>
          <w:trHeight w:val="520"/>
        </w:trPr>
        <w:tc>
          <w:tcPr>
            <w:tcW w:w="324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资金情况</w:t>
            </w:r>
            <w:r>
              <w:rPr>
                <w:rStyle w:val="font21"/>
                <w:rFonts w:hint="default"/>
                <w:lang/>
              </w:rPr>
              <w:br/>
            </w:r>
            <w:r>
              <w:rPr>
                <w:rStyle w:val="font21"/>
                <w:rFonts w:hint="default"/>
                <w:lang/>
              </w:rPr>
              <w:t>（万元）</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rPr>
                <w:rFonts w:ascii="宋体" w:eastAsia="宋体" w:hAnsi="宋体" w:cs="宋体"/>
                <w:color w:val="000000"/>
                <w:sz w:val="20"/>
                <w:szCs w:val="20"/>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全年预算数（</w:t>
            </w:r>
            <w:r>
              <w:rPr>
                <w:rFonts w:ascii="宋体" w:eastAsia="宋体" w:hAnsi="宋体" w:cs="宋体" w:hint="eastAsia"/>
                <w:color w:val="000000"/>
                <w:kern w:val="0"/>
                <w:sz w:val="20"/>
                <w:szCs w:val="20"/>
                <w:lang/>
              </w:rPr>
              <w:t>A</w:t>
            </w:r>
            <w:r>
              <w:rPr>
                <w:rFonts w:ascii="宋体" w:eastAsia="宋体" w:hAnsi="宋体" w:cs="宋体" w:hint="eastAsia"/>
                <w:color w:val="000000"/>
                <w:kern w:val="0"/>
                <w:sz w:val="20"/>
                <w:szCs w:val="20"/>
                <w:lang/>
              </w:rPr>
              <w:t>）</w:t>
            </w: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全年执行数（</w:t>
            </w:r>
            <w:r>
              <w:rPr>
                <w:rFonts w:ascii="宋体" w:eastAsia="宋体" w:hAnsi="宋体" w:cs="宋体" w:hint="eastAsia"/>
                <w:color w:val="000000"/>
                <w:kern w:val="0"/>
                <w:sz w:val="20"/>
                <w:szCs w:val="20"/>
                <w:lang/>
              </w:rPr>
              <w:t>B</w:t>
            </w:r>
            <w:r>
              <w:rPr>
                <w:rFonts w:ascii="宋体" w:eastAsia="宋体" w:hAnsi="宋体" w:cs="宋体" w:hint="eastAsia"/>
                <w:color w:val="000000"/>
                <w:kern w:val="0"/>
                <w:sz w:val="20"/>
                <w:szCs w:val="20"/>
                <w:lang/>
              </w:rPr>
              <w:t>）</w:t>
            </w:r>
          </w:p>
        </w:tc>
      </w:tr>
      <w:tr w:rsidR="00E77C63">
        <w:trPr>
          <w:trHeight w:val="520"/>
        </w:trPr>
        <w:tc>
          <w:tcPr>
            <w:tcW w:w="3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年度资金总额：</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69</w:t>
            </w: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69</w:t>
            </w:r>
          </w:p>
        </w:tc>
      </w:tr>
      <w:tr w:rsidR="00E77C63">
        <w:trPr>
          <w:trHeight w:val="520"/>
        </w:trPr>
        <w:tc>
          <w:tcPr>
            <w:tcW w:w="3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其中：市本级财政资金</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jc w:val="center"/>
              <w:rPr>
                <w:rFonts w:ascii="宋体" w:eastAsia="宋体" w:hAnsi="宋体" w:cs="宋体"/>
                <w:color w:val="000000"/>
                <w:sz w:val="20"/>
                <w:szCs w:val="20"/>
              </w:rPr>
            </w:pPr>
            <w:r>
              <w:rPr>
                <w:rFonts w:ascii="宋体" w:eastAsia="宋体" w:hAnsi="宋体" w:cs="宋体" w:hint="eastAsia"/>
                <w:color w:val="000000"/>
                <w:sz w:val="20"/>
                <w:szCs w:val="20"/>
              </w:rPr>
              <w:t>69</w:t>
            </w: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69</w:t>
            </w:r>
          </w:p>
        </w:tc>
      </w:tr>
      <w:tr w:rsidR="00E77C63">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总体目标完成情况</w:t>
            </w:r>
          </w:p>
        </w:tc>
        <w:tc>
          <w:tcPr>
            <w:tcW w:w="4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总体目标</w:t>
            </w: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全年实际完成情况</w:t>
            </w:r>
          </w:p>
        </w:tc>
      </w:tr>
      <w:tr w:rsidR="00E77C63">
        <w:trPr>
          <w:trHeight w:val="1138"/>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4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目标</w:t>
            </w:r>
            <w:r>
              <w:rPr>
                <w:rFonts w:ascii="宋体" w:eastAsia="宋体" w:hAnsi="宋体" w:cs="宋体" w:hint="eastAsia"/>
                <w:color w:val="000000"/>
                <w:kern w:val="0"/>
                <w:sz w:val="20"/>
                <w:szCs w:val="20"/>
                <w:lang/>
              </w:rPr>
              <w:t>1</w:t>
            </w:r>
            <w:r>
              <w:rPr>
                <w:rFonts w:ascii="宋体" w:eastAsia="宋体" w:hAnsi="宋体" w:cs="宋体" w:hint="eastAsia"/>
                <w:color w:val="000000"/>
                <w:kern w:val="0"/>
                <w:sz w:val="20"/>
                <w:szCs w:val="20"/>
                <w:lang/>
              </w:rPr>
              <w:t>：缓解由于取消加成减少收入带来的资金压力，使医院更好地开展医疗服务。目标</w:t>
            </w:r>
            <w:r>
              <w:rPr>
                <w:rFonts w:ascii="宋体" w:eastAsia="宋体" w:hAnsi="宋体" w:cs="宋体" w:hint="eastAsia"/>
                <w:color w:val="000000"/>
                <w:kern w:val="0"/>
                <w:sz w:val="20"/>
                <w:szCs w:val="20"/>
                <w:lang/>
              </w:rPr>
              <w:t>2</w:t>
            </w:r>
            <w:r>
              <w:rPr>
                <w:rFonts w:ascii="宋体" w:eastAsia="宋体" w:hAnsi="宋体" w:cs="宋体" w:hint="eastAsia"/>
                <w:color w:val="000000"/>
                <w:kern w:val="0"/>
                <w:sz w:val="20"/>
                <w:szCs w:val="20"/>
                <w:lang/>
              </w:rPr>
              <w:t>：：加强内部医疗质量及成本管理，使主要指标控制在最佳水平。</w:t>
            </w: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较好地完成既定目标</w:t>
            </w:r>
          </w:p>
        </w:tc>
      </w:tr>
      <w:tr w:rsidR="00E77C63">
        <w:trPr>
          <w:trHeight w:val="312"/>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绩效指标</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一级指标</w:t>
            </w:r>
          </w:p>
        </w:tc>
        <w:tc>
          <w:tcPr>
            <w:tcW w:w="1080" w:type="dxa"/>
            <w:vMerge w:val="restart"/>
            <w:tcBorders>
              <w:top w:val="single" w:sz="4" w:space="0" w:color="000000"/>
              <w:left w:val="single" w:sz="4" w:space="0" w:color="000000"/>
              <w:bottom w:val="nil"/>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二级指标</w:t>
            </w:r>
          </w:p>
        </w:tc>
        <w:tc>
          <w:tcPr>
            <w:tcW w:w="25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三级指标</w:t>
            </w:r>
          </w:p>
        </w:tc>
        <w:tc>
          <w:tcPr>
            <w:tcW w:w="14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年度指标值</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年度完成值</w:t>
            </w:r>
          </w:p>
        </w:tc>
      </w:tr>
      <w:tr w:rsidR="00E77C63">
        <w:trPr>
          <w:trHeight w:val="312"/>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tcBorders>
              <w:top w:val="single" w:sz="4" w:space="0" w:color="000000"/>
              <w:left w:val="single" w:sz="4" w:space="0" w:color="000000"/>
              <w:bottom w:val="nil"/>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257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4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r>
      <w:tr w:rsidR="00E77C63">
        <w:trPr>
          <w:trHeight w:val="104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产出指标</w:t>
            </w:r>
          </w:p>
        </w:tc>
        <w:tc>
          <w:tcPr>
            <w:tcW w:w="1080" w:type="dxa"/>
            <w:vMerge w:val="restart"/>
            <w:tcBorders>
              <w:top w:val="single" w:sz="4" w:space="0" w:color="000000"/>
              <w:left w:val="single" w:sz="4" w:space="0" w:color="000000"/>
              <w:bottom w:val="nil"/>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数量指标</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药占比</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23.96%</w:t>
            </w:r>
          </w:p>
        </w:tc>
      </w:tr>
      <w:tr w:rsidR="00E77C63">
        <w:trPr>
          <w:trHeight w:val="30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tcBorders>
              <w:top w:val="single" w:sz="4" w:space="0" w:color="000000"/>
              <w:left w:val="single" w:sz="4" w:space="0" w:color="000000"/>
              <w:bottom w:val="nil"/>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出院者平均住院天数</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12</w:t>
            </w:r>
            <w:r>
              <w:rPr>
                <w:rFonts w:ascii="宋体" w:eastAsia="宋体" w:hAnsi="宋体" w:cs="宋体" w:hint="eastAsia"/>
                <w:color w:val="000000"/>
                <w:kern w:val="0"/>
                <w:sz w:val="20"/>
                <w:szCs w:val="20"/>
                <w:lang/>
              </w:rPr>
              <w:t>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8</w:t>
            </w:r>
            <w:r>
              <w:rPr>
                <w:rFonts w:ascii="宋体" w:eastAsia="宋体" w:hAnsi="宋体" w:cs="宋体" w:hint="eastAsia"/>
                <w:color w:val="000000"/>
                <w:kern w:val="0"/>
                <w:sz w:val="20"/>
                <w:szCs w:val="20"/>
                <w:lang/>
              </w:rPr>
              <w:t>天</w:t>
            </w:r>
          </w:p>
        </w:tc>
      </w:tr>
      <w:tr w:rsidR="00E77C63">
        <w:trPr>
          <w:trHeight w:val="78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tcBorders>
              <w:top w:val="single" w:sz="4" w:space="0" w:color="000000"/>
              <w:left w:val="single" w:sz="4" w:space="0" w:color="000000"/>
              <w:bottom w:val="nil"/>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病床使用率</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78%</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76.68%</w:t>
            </w:r>
          </w:p>
        </w:tc>
      </w:tr>
      <w:tr w:rsidR="00E77C63">
        <w:trPr>
          <w:trHeight w:val="78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val="restart"/>
            <w:tcBorders>
              <w:top w:val="single" w:sz="4" w:space="0" w:color="000000"/>
              <w:left w:val="single" w:sz="4" w:space="0" w:color="000000"/>
              <w:bottom w:val="nil"/>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效益指标</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社会效益指标</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治愈好转率</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97%</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99.7%</w:t>
            </w:r>
          </w:p>
        </w:tc>
      </w:tr>
      <w:tr w:rsidR="00E77C63">
        <w:trPr>
          <w:trHeight w:val="52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tcBorders>
              <w:top w:val="single" w:sz="4" w:space="0" w:color="000000"/>
              <w:left w:val="single" w:sz="4" w:space="0" w:color="000000"/>
              <w:bottom w:val="nil"/>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出院患者诊断符合率</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97%</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98.3%</w:t>
            </w:r>
          </w:p>
        </w:tc>
      </w:tr>
      <w:tr w:rsidR="00E77C63">
        <w:trPr>
          <w:trHeight w:val="104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vMerge/>
            <w:tcBorders>
              <w:top w:val="single" w:sz="4" w:space="0" w:color="000000"/>
              <w:left w:val="single" w:sz="4" w:space="0" w:color="000000"/>
              <w:bottom w:val="nil"/>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可持续影响指标</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诊疗服务水平</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考察取消药品加成财政给予补助资金后医院诊疗服务的效果。</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财政补助收入占总支出比例较上年同期提高</w:t>
            </w:r>
            <w:r>
              <w:rPr>
                <w:rFonts w:ascii="宋体" w:eastAsia="宋体" w:hAnsi="宋体" w:cs="宋体" w:hint="eastAsia"/>
                <w:color w:val="000000"/>
                <w:kern w:val="0"/>
                <w:sz w:val="20"/>
                <w:szCs w:val="20"/>
                <w:lang/>
              </w:rPr>
              <w:t>0.54%</w:t>
            </w:r>
          </w:p>
        </w:tc>
      </w:tr>
      <w:tr w:rsidR="00E77C63">
        <w:trPr>
          <w:trHeight w:val="30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E77C63">
            <w:pPr>
              <w:jc w:val="center"/>
              <w:rPr>
                <w:rFonts w:ascii="宋体" w:eastAsia="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满意度指标</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服务对象满意度指标</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群众满意度满</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90%</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98.67%</w:t>
            </w:r>
          </w:p>
        </w:tc>
      </w:tr>
    </w:tbl>
    <w:p w:rsidR="00E77C63" w:rsidRDefault="00720BDD">
      <w:pPr>
        <w:keepNext/>
        <w:keepLines/>
        <w:snapToGrid w:val="0"/>
        <w:spacing w:line="60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lastRenderedPageBreak/>
        <w:t>七、</w:t>
      </w:r>
      <w:r>
        <w:rPr>
          <w:rFonts w:ascii="黑体" w:eastAsia="黑体" w:hAnsi="黑体" w:cs="黑体" w:hint="eastAsia"/>
          <w:sz w:val="32"/>
          <w:szCs w:val="32"/>
        </w:rPr>
        <w:t>机关运行经费情况</w:t>
      </w:r>
    </w:p>
    <w:p w:rsidR="00E77C63" w:rsidRDefault="00720BDD">
      <w:pPr>
        <w:keepNext/>
        <w:keepLines/>
        <w:snapToGrid w:val="0"/>
        <w:spacing w:line="600" w:lineRule="exact"/>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年度机关运行经费支出</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w:t>
      </w:r>
      <w:r>
        <w:rPr>
          <w:rFonts w:ascii="仿宋_GB2312" w:eastAsia="仿宋_GB2312" w:hAnsi="仿宋_GB2312" w:cs="仿宋_GB2312" w:hint="eastAsia"/>
          <w:sz w:val="32"/>
          <w:szCs w:val="32"/>
        </w:rPr>
        <w:t>与</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年度决算支出持平。</w:t>
      </w:r>
      <w:r>
        <w:rPr>
          <w:rFonts w:ascii="仿宋_GB2312" w:eastAsia="仿宋_GB2312" w:hAnsi="仿宋_GB2312" w:cs="仿宋_GB2312" w:hint="eastAsia"/>
          <w:sz w:val="32"/>
          <w:szCs w:val="32"/>
        </w:rPr>
        <w:t>主要原因是机关运行经费仅由行政、参公机关单位填列反映，事业单位不反映机关运行经费。</w:t>
      </w:r>
    </w:p>
    <w:p w:rsidR="00E77C63" w:rsidRDefault="00720BDD">
      <w:pPr>
        <w:keepNext/>
        <w:keepLines/>
        <w:snapToGrid w:val="0"/>
        <w:spacing w:line="60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八、政府采购情况</w:t>
      </w:r>
    </w:p>
    <w:p w:rsidR="00E77C63" w:rsidRDefault="00720BDD">
      <w:pPr>
        <w:snapToGrid w:val="0"/>
        <w:spacing w:line="600" w:lineRule="exact"/>
        <w:ind w:firstLineChars="200" w:firstLine="640"/>
        <w:jc w:val="left"/>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年度政府采购支出总额</w:t>
      </w:r>
      <w:r>
        <w:rPr>
          <w:rFonts w:ascii="仿宋_GB2312" w:eastAsia="仿宋_GB2312" w:hAnsi="仿宋_GB2312" w:cs="仿宋_GB2312" w:hint="eastAsia"/>
          <w:sz w:val="32"/>
          <w:szCs w:val="32"/>
        </w:rPr>
        <w:t>1417.89</w:t>
      </w:r>
      <w:r>
        <w:rPr>
          <w:rFonts w:ascii="仿宋_GB2312" w:eastAsia="仿宋_GB2312" w:hAnsi="仿宋_GB2312" w:cs="仿宋_GB2312" w:hint="eastAsia"/>
          <w:sz w:val="32"/>
          <w:szCs w:val="32"/>
        </w:rPr>
        <w:t>万元，从采购类型来看，</w:t>
      </w:r>
      <w:r>
        <w:rPr>
          <w:rFonts w:ascii="仿宋_GB2312" w:eastAsia="仿宋_GB2312" w:hAnsi="仿宋_GB2312" w:cs="仿宋_GB2312" w:hint="eastAsia"/>
          <w:color w:val="000000"/>
          <w:kern w:val="0"/>
          <w:sz w:val="32"/>
          <w:szCs w:val="32"/>
          <w:lang/>
        </w:rPr>
        <w:t>政府采购货物支出</w:t>
      </w:r>
      <w:r>
        <w:rPr>
          <w:rFonts w:ascii="仿宋_GB2312" w:eastAsia="仿宋_GB2312" w:hAnsi="仿宋_GB2312" w:cs="仿宋_GB2312" w:hint="eastAsia"/>
          <w:color w:val="000000"/>
          <w:kern w:val="0"/>
          <w:sz w:val="32"/>
          <w:szCs w:val="32"/>
          <w:lang/>
        </w:rPr>
        <w:t>1393.29</w:t>
      </w:r>
      <w:r>
        <w:rPr>
          <w:rFonts w:ascii="仿宋_GB2312" w:eastAsia="仿宋_GB2312" w:hAnsi="仿宋_GB2312" w:cs="仿宋_GB2312" w:hint="eastAsia"/>
          <w:color w:val="000000"/>
          <w:kern w:val="0"/>
          <w:sz w:val="32"/>
          <w:szCs w:val="32"/>
          <w:lang/>
        </w:rPr>
        <w:t>万元、政府采购工程支出</w:t>
      </w:r>
      <w:r>
        <w:rPr>
          <w:rFonts w:ascii="仿宋_GB2312" w:eastAsia="仿宋_GB2312" w:hAnsi="仿宋_GB2312" w:cs="仿宋_GB2312" w:hint="eastAsia"/>
          <w:color w:val="000000"/>
          <w:kern w:val="0"/>
          <w:sz w:val="32"/>
          <w:szCs w:val="32"/>
          <w:lang/>
        </w:rPr>
        <w:t>24.60</w:t>
      </w:r>
      <w:r>
        <w:rPr>
          <w:rFonts w:ascii="仿宋_GB2312" w:eastAsia="仿宋_GB2312" w:hAnsi="仿宋_GB2312" w:cs="仿宋_GB2312" w:hint="eastAsia"/>
          <w:color w:val="000000"/>
          <w:kern w:val="0"/>
          <w:sz w:val="32"/>
          <w:szCs w:val="32"/>
          <w:lang/>
        </w:rPr>
        <w:t>万元。授予中小企业合同金</w:t>
      </w:r>
      <w:r>
        <w:rPr>
          <w:rFonts w:ascii="仿宋_GB2312" w:eastAsia="仿宋_GB2312" w:hAnsi="仿宋_GB2312" w:cs="仿宋_GB2312" w:hint="eastAsia"/>
          <w:color w:val="000000"/>
          <w:kern w:val="0"/>
          <w:sz w:val="32"/>
          <w:szCs w:val="32"/>
          <w:lang/>
        </w:rPr>
        <w:t>1389.76</w:t>
      </w:r>
      <w:r>
        <w:rPr>
          <w:rFonts w:ascii="仿宋_GB2312" w:eastAsia="仿宋_GB2312" w:hAnsi="仿宋_GB2312" w:cs="仿宋_GB2312" w:hint="eastAsia"/>
          <w:color w:val="000000"/>
          <w:kern w:val="0"/>
          <w:sz w:val="32"/>
          <w:szCs w:val="32"/>
          <w:lang/>
        </w:rPr>
        <w:t>万元，占政府采购支出总额的</w:t>
      </w:r>
      <w:r>
        <w:rPr>
          <w:rFonts w:ascii="仿宋_GB2312" w:eastAsia="仿宋_GB2312" w:hAnsi="仿宋_GB2312" w:cs="仿宋_GB2312" w:hint="eastAsia"/>
          <w:color w:val="000000"/>
          <w:kern w:val="0"/>
          <w:sz w:val="32"/>
          <w:szCs w:val="32"/>
          <w:lang/>
        </w:rPr>
        <w:t>98.02</w:t>
      </w:r>
      <w:r>
        <w:rPr>
          <w:rFonts w:ascii="仿宋_GB2312" w:eastAsia="仿宋_GB2312" w:hAnsi="仿宋_GB2312" w:cs="仿宋_GB2312" w:hint="eastAsia"/>
          <w:color w:val="000000"/>
          <w:kern w:val="0"/>
          <w:sz w:val="32"/>
          <w:szCs w:val="32"/>
          <w:lang/>
        </w:rPr>
        <w:t>%</w:t>
      </w:r>
      <w:r>
        <w:rPr>
          <w:rFonts w:ascii="仿宋_GB2312" w:eastAsia="仿宋_GB2312" w:hAnsi="仿宋_GB2312" w:cs="仿宋_GB2312" w:hint="eastAsia"/>
          <w:color w:val="000000"/>
          <w:kern w:val="0"/>
          <w:sz w:val="32"/>
          <w:szCs w:val="32"/>
          <w:lang/>
        </w:rPr>
        <w:t>，其中授予小微企业合同金额</w:t>
      </w:r>
      <w:r>
        <w:rPr>
          <w:rFonts w:ascii="仿宋_GB2312" w:eastAsia="仿宋_GB2312" w:hAnsi="仿宋_GB2312" w:cs="仿宋_GB2312" w:hint="eastAsia"/>
          <w:color w:val="000000"/>
          <w:kern w:val="0"/>
          <w:sz w:val="32"/>
          <w:szCs w:val="32"/>
          <w:lang/>
        </w:rPr>
        <w:t>1366.72</w:t>
      </w:r>
      <w:r>
        <w:rPr>
          <w:rFonts w:ascii="仿宋_GB2312" w:eastAsia="仿宋_GB2312" w:hAnsi="仿宋_GB2312" w:cs="仿宋_GB2312" w:hint="eastAsia"/>
          <w:color w:val="000000"/>
          <w:kern w:val="0"/>
          <w:sz w:val="32"/>
          <w:szCs w:val="32"/>
          <w:lang/>
        </w:rPr>
        <w:t>万元，占政府采购支出总额的</w:t>
      </w:r>
      <w:r>
        <w:rPr>
          <w:rFonts w:ascii="仿宋_GB2312" w:eastAsia="仿宋_GB2312" w:hAnsi="仿宋_GB2312" w:cs="仿宋_GB2312" w:hint="eastAsia"/>
          <w:color w:val="000000"/>
          <w:kern w:val="0"/>
          <w:sz w:val="32"/>
          <w:szCs w:val="32"/>
          <w:lang/>
        </w:rPr>
        <w:t xml:space="preserve"> </w:t>
      </w:r>
      <w:r>
        <w:rPr>
          <w:rFonts w:ascii="仿宋_GB2312" w:eastAsia="仿宋_GB2312" w:hAnsi="仿宋_GB2312" w:cs="仿宋_GB2312" w:hint="eastAsia"/>
          <w:color w:val="000000"/>
          <w:kern w:val="0"/>
          <w:sz w:val="32"/>
          <w:szCs w:val="32"/>
          <w:lang/>
        </w:rPr>
        <w:t>96.39</w:t>
      </w:r>
      <w:r>
        <w:rPr>
          <w:rFonts w:ascii="仿宋_GB2312" w:eastAsia="仿宋_GB2312" w:hAnsi="仿宋_GB2312" w:cs="仿宋_GB2312" w:hint="eastAsia"/>
          <w:color w:val="000000"/>
          <w:kern w:val="0"/>
          <w:sz w:val="32"/>
          <w:szCs w:val="32"/>
          <w:lang/>
        </w:rPr>
        <w:t>%</w:t>
      </w:r>
      <w:r>
        <w:rPr>
          <w:rFonts w:ascii="仿宋_GB2312" w:eastAsia="仿宋_GB2312" w:hAnsi="仿宋_GB2312" w:cs="仿宋_GB2312" w:hint="eastAsia"/>
          <w:color w:val="000000"/>
          <w:kern w:val="0"/>
          <w:sz w:val="32"/>
          <w:szCs w:val="32"/>
          <w:lang/>
        </w:rPr>
        <w:t>。</w:t>
      </w:r>
    </w:p>
    <w:p w:rsidR="00E77C63" w:rsidRDefault="00720BDD">
      <w:pPr>
        <w:keepNext/>
        <w:keepLines/>
        <w:snapToGrid w:val="0"/>
        <w:spacing w:line="60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九</w:t>
      </w:r>
      <w:r>
        <w:rPr>
          <w:rFonts w:ascii="黑体" w:eastAsia="黑体" w:hAnsi="黑体" w:cs="黑体" w:hint="eastAsia"/>
          <w:sz w:val="32"/>
          <w:szCs w:val="32"/>
        </w:rPr>
        <w:t>、国有资产占用情况</w:t>
      </w:r>
    </w:p>
    <w:p w:rsidR="00E77C63" w:rsidRDefault="00720BD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截至</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31</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共有车辆</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辆，比上年减少</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辆，</w:t>
      </w:r>
      <w:r>
        <w:rPr>
          <w:rFonts w:ascii="仿宋_GB2312" w:eastAsia="仿宋_GB2312" w:hAnsi="仿宋_GB2312" w:cs="仿宋_GB2312" w:hint="eastAsia"/>
          <w:sz w:val="32"/>
          <w:szCs w:val="32"/>
        </w:rPr>
        <w:t>执行公车改革，减少</w:t>
      </w:r>
      <w:r>
        <w:rPr>
          <w:rFonts w:ascii="仿宋_GB2312" w:eastAsia="仿宋_GB2312" w:hAnsi="仿宋_GB2312" w:cs="仿宋_GB2312" w:hint="eastAsia"/>
          <w:sz w:val="32"/>
          <w:szCs w:val="32"/>
        </w:rPr>
        <w:t>主要是</w:t>
      </w:r>
      <w:r>
        <w:rPr>
          <w:rFonts w:ascii="仿宋_GB2312" w:eastAsia="仿宋_GB2312" w:hAnsi="仿宋_GB2312" w:cs="仿宋_GB2312" w:hint="eastAsia"/>
          <w:sz w:val="32"/>
          <w:szCs w:val="32"/>
        </w:rPr>
        <w:t>领导干部用车</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辆</w:t>
      </w:r>
      <w:r>
        <w:rPr>
          <w:rFonts w:ascii="仿宋_GB2312" w:eastAsia="仿宋_GB2312" w:hAnsi="仿宋_GB2312" w:cs="仿宋_GB2312" w:hint="eastAsia"/>
          <w:sz w:val="32"/>
          <w:szCs w:val="32"/>
        </w:rPr>
        <w:t>。特种专业技术用车</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辆</w:t>
      </w:r>
      <w:r>
        <w:rPr>
          <w:rFonts w:ascii="仿宋_GB2312" w:eastAsia="仿宋_GB2312" w:hAnsi="仿宋_GB2312" w:cs="仿宋_GB2312" w:hint="eastAsia"/>
          <w:sz w:val="32"/>
          <w:szCs w:val="32"/>
        </w:rPr>
        <w:t>。</w:t>
      </w:r>
    </w:p>
    <w:p w:rsidR="00E77C63" w:rsidRDefault="00720BDD">
      <w:pPr>
        <w:adjustRightInd w:val="0"/>
        <w:snapToGrid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单位价值</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万元以上通用设备</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台（套），</w:t>
      </w:r>
      <w:r>
        <w:rPr>
          <w:rFonts w:ascii="仿宋_GB2312" w:eastAsia="仿宋_GB2312" w:hAnsi="仿宋_GB2312" w:cs="仿宋_GB2312" w:hint="eastAsia"/>
          <w:sz w:val="32"/>
          <w:szCs w:val="32"/>
        </w:rPr>
        <w:t>与上年数</w:t>
      </w:r>
      <w:r>
        <w:rPr>
          <w:rFonts w:ascii="仿宋_GB2312" w:eastAsia="仿宋_GB2312" w:hAnsi="仿宋_GB2312" w:cs="仿宋_GB2312" w:hint="eastAsia"/>
          <w:sz w:val="32"/>
          <w:szCs w:val="32"/>
        </w:rPr>
        <w:t>持平</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单位价值</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万元以上专用设备</w:t>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t>台（套）比上年增加</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台（</w:t>
      </w:r>
      <w:r>
        <w:rPr>
          <w:rFonts w:ascii="仿宋_GB2312" w:eastAsia="仿宋_GB2312" w:hAnsi="仿宋_GB2312" w:cs="仿宋_GB2312" w:hint="eastAsia"/>
          <w:sz w:val="32"/>
          <w:szCs w:val="32"/>
        </w:rPr>
        <w:t>套</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，主要是</w:t>
      </w:r>
      <w:r>
        <w:rPr>
          <w:rFonts w:ascii="仿宋_GB2312" w:eastAsia="仿宋_GB2312" w:hAnsi="仿宋_GB2312" w:cs="仿宋_GB2312" w:hint="eastAsia"/>
          <w:sz w:val="32"/>
          <w:szCs w:val="32"/>
        </w:rPr>
        <w:t>医用磁共振成像系统</w:t>
      </w:r>
      <w:r>
        <w:rPr>
          <w:rFonts w:ascii="仿宋_GB2312" w:eastAsia="仿宋_GB2312" w:hAnsi="仿宋_GB2312" w:cs="仿宋_GB2312" w:hint="eastAsia"/>
          <w:sz w:val="32"/>
          <w:szCs w:val="32"/>
        </w:rPr>
        <w:t>Ingen</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a</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套）、非接触眼压计</w:t>
      </w:r>
      <w:r>
        <w:rPr>
          <w:rFonts w:ascii="仿宋_GB2312" w:eastAsia="仿宋_GB2312" w:hAnsi="仿宋_GB2312" w:cs="仿宋_GB2312" w:hint="eastAsia"/>
          <w:sz w:val="32"/>
          <w:szCs w:val="32"/>
        </w:rPr>
        <w:t>72100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台）、眼科光学相干生物测量仪</w:t>
      </w:r>
      <w:r>
        <w:rPr>
          <w:rFonts w:ascii="仿宋_GB2312" w:eastAsia="仿宋_GB2312" w:hAnsi="仿宋_GB2312" w:cs="仿宋_GB2312" w:hint="eastAsia"/>
          <w:sz w:val="32"/>
          <w:szCs w:val="32"/>
        </w:rPr>
        <w:t>IOL</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台）、眼内窥镜</w:t>
      </w:r>
      <w:r>
        <w:rPr>
          <w:rFonts w:ascii="仿宋_GB2312" w:eastAsia="仿宋_GB2312" w:hAnsi="仿宋_GB2312" w:cs="仿宋_GB2312" w:hint="eastAsia"/>
          <w:sz w:val="32"/>
          <w:szCs w:val="32"/>
        </w:rPr>
        <w:t>PD-OS-1100/PD-ZS</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台）</w:t>
      </w:r>
      <w:r>
        <w:rPr>
          <w:rFonts w:ascii="仿宋_GB2312" w:eastAsia="仿宋_GB2312" w:hAnsi="仿宋_GB2312" w:cs="仿宋_GB2312" w:hint="eastAsia"/>
          <w:sz w:val="32"/>
          <w:szCs w:val="32"/>
        </w:rPr>
        <w:t>。</w:t>
      </w:r>
    </w:p>
    <w:p w:rsidR="00E77C63" w:rsidRDefault="00720BDD">
      <w:pPr>
        <w:keepNext/>
        <w:keepLines/>
        <w:snapToGrid w:val="0"/>
        <w:spacing w:line="60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十</w:t>
      </w:r>
      <w:r>
        <w:rPr>
          <w:rFonts w:ascii="黑体" w:eastAsia="黑体" w:hAnsi="黑体" w:cs="黑体" w:hint="eastAsia"/>
          <w:sz w:val="32"/>
          <w:szCs w:val="32"/>
        </w:rPr>
        <w:t>、其他需要说明的情况</w:t>
      </w:r>
    </w:p>
    <w:p w:rsidR="00E77C63" w:rsidRDefault="00720BD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张家口市第四医院</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年度未发生</w:t>
      </w:r>
      <w:r>
        <w:rPr>
          <w:rFonts w:ascii="仿宋_GB2312" w:eastAsia="仿宋_GB2312" w:hAnsi="仿宋_GB2312" w:cs="仿宋_GB2312" w:hint="eastAsia"/>
          <w:sz w:val="32"/>
          <w:szCs w:val="32"/>
        </w:rPr>
        <w:t>政府性基金预算、国</w:t>
      </w:r>
      <w:r>
        <w:rPr>
          <w:rFonts w:ascii="仿宋_GB2312" w:eastAsia="仿宋_GB2312" w:hAnsi="仿宋_GB2312" w:cs="仿宋_GB2312" w:hint="eastAsia"/>
          <w:sz w:val="32"/>
          <w:szCs w:val="32"/>
        </w:rPr>
        <w:lastRenderedPageBreak/>
        <w:t>有资金经营预算</w:t>
      </w:r>
      <w:r>
        <w:rPr>
          <w:rFonts w:ascii="仿宋_GB2312" w:eastAsia="仿宋_GB2312" w:hAnsi="仿宋_GB2312" w:cs="仿宋_GB2312" w:hint="eastAsia"/>
          <w:sz w:val="32"/>
          <w:szCs w:val="32"/>
        </w:rPr>
        <w:t>收支及结转结余情况，故政府性基金预算财政拨款收入支出决算表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国有资本经营预算财政拨款支出决算表等表以空表列示。</w:t>
      </w:r>
    </w:p>
    <w:p w:rsidR="00E77C63" w:rsidRDefault="00720BD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2. </w:t>
      </w:r>
      <w:r>
        <w:rPr>
          <w:rFonts w:ascii="仿宋_GB2312" w:eastAsia="仿宋_GB2312" w:hAnsi="仿宋_GB2312" w:cs="仿宋_GB2312" w:hint="eastAsia"/>
          <w:sz w:val="32"/>
          <w:szCs w:val="32"/>
        </w:rPr>
        <w:t>由于决算公开表格中金额数值应当保留两位小数，公开数据为四舍五入计算结果，个别数据合计项与分项之和存在小数点后差额，特此说明。</w:t>
      </w: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r w:rsidRPr="00E77C63">
        <w:rPr>
          <w:sz w:val="72"/>
        </w:rPr>
        <w:pict>
          <v:shape id="_x0000_s1029" type="#_x0000_t202" style="position:absolute;left:0;text-align:left;margin-left:-80.5pt;margin-top:15.9pt;width:613.65pt;height:263.1pt;z-index:251661312;v-text-anchor:middle"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fillcolor="#7f7f7f [1612]" strokecolor="#7f7f7f [1612]" strokeweight=".5pt">
            <v:fill r:id="rId13" o:title="5%" color2="white [3212]" type="pattern"/>
            <v:stroke joinstyle="round"/>
            <v:textbox>
              <w:txbxContent>
                <w:p w:rsidR="00E77C63" w:rsidRDefault="00720BDD">
                  <w:pPr>
                    <w:widowControl/>
                    <w:jc w:val="center"/>
                  </w:pPr>
                  <w:r>
                    <w:rPr>
                      <w:rFonts w:ascii="黑体" w:eastAsia="黑体" w:hAnsi="黑体" w:cs="黑体" w:hint="eastAsia"/>
                      <w:color w:val="000000" w:themeColor="text1"/>
                      <w:sz w:val="90"/>
                      <w:szCs w:val="90"/>
                    </w:rPr>
                    <w:t>第三部分</w:t>
                  </w:r>
                  <w:r>
                    <w:rPr>
                      <w:rFonts w:ascii="黑体" w:eastAsia="黑体" w:hAnsi="黑体" w:cs="黑体" w:hint="eastAsia"/>
                      <w:color w:val="000000" w:themeColor="text1"/>
                      <w:sz w:val="90"/>
                      <w:szCs w:val="90"/>
                    </w:rPr>
                    <w:t xml:space="preserve"> </w:t>
                  </w:r>
                  <w:r>
                    <w:rPr>
                      <w:rFonts w:ascii="黑体" w:eastAsia="黑体" w:hAnsi="黑体" w:cs="黑体" w:hint="eastAsia"/>
                      <w:color w:val="000000" w:themeColor="text1"/>
                      <w:sz w:val="90"/>
                      <w:szCs w:val="90"/>
                    </w:rPr>
                    <w:t>相关名词解释</w:t>
                  </w:r>
                </w:p>
              </w:txbxContent>
            </v:textbox>
          </v:shape>
        </w:pict>
      </w: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E77C63">
      <w:pPr>
        <w:rPr>
          <w:rFonts w:ascii="仿宋_GB2312" w:eastAsia="仿宋_GB2312" w:hAnsi="宋体" w:cs="Arial Black"/>
          <w:sz w:val="32"/>
          <w:szCs w:val="32"/>
        </w:rPr>
      </w:pPr>
    </w:p>
    <w:p w:rsidR="00E77C63" w:rsidRDefault="00720BDD">
      <w:pPr>
        <w:rPr>
          <w:rFonts w:ascii="仿宋_GB2312" w:eastAsia="仿宋_GB2312" w:hAnsi="宋体" w:cs="Arial Black"/>
          <w:sz w:val="32"/>
          <w:szCs w:val="32"/>
          <w:highlight w:val="yellow"/>
        </w:rPr>
      </w:pPr>
      <w:r>
        <w:rPr>
          <w:rFonts w:ascii="仿宋_GB2312" w:eastAsia="仿宋_GB2312" w:hAnsi="宋体" w:cs="Arial Black" w:hint="eastAsia"/>
          <w:sz w:val="32"/>
          <w:szCs w:val="32"/>
          <w:highlight w:val="yellow"/>
        </w:rPr>
        <w:br w:type="page"/>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（九）基本建设支出：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w:t>
      </w:r>
      <w:r>
        <w:rPr>
          <w:rFonts w:ascii="仿宋_GB2312" w:eastAsia="仿宋_GB2312" w:hAnsi="宋体" w:cs="Times New Roman" w:hint="eastAsia"/>
          <w:color w:val="000000"/>
          <w:kern w:val="0"/>
          <w:sz w:val="32"/>
          <w:szCs w:val="32"/>
        </w:rPr>
        <w:t>般公共预算财政拨款支</w:t>
      </w:r>
      <w:r>
        <w:rPr>
          <w:rFonts w:ascii="仿宋_GB2312" w:eastAsia="仿宋_GB2312" w:hAnsi="宋体" w:cs="Times New Roman" w:hint="eastAsia"/>
          <w:color w:val="000000"/>
          <w:kern w:val="0"/>
          <w:sz w:val="32"/>
          <w:szCs w:val="32"/>
        </w:rPr>
        <w:lastRenderedPageBreak/>
        <w:t>出和政府性基金预算财政拨款支出，不包括财政专户管理资金以及各类拼盘自筹资金等。</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E77C63" w:rsidRDefault="00720BDD">
      <w:pPr>
        <w:snapToGrid w:val="0"/>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E77C63" w:rsidRDefault="00720BDD">
      <w:pPr>
        <w:snapToGrid w:val="0"/>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w:t>
      </w:r>
      <w:r>
        <w:rPr>
          <w:rFonts w:ascii="仿宋_GB2312" w:eastAsia="仿宋_GB2312" w:hAnsi="宋体" w:cs="Times New Roman" w:hint="eastAsia"/>
          <w:color w:val="000000"/>
          <w:kern w:val="0"/>
          <w:sz w:val="32"/>
          <w:szCs w:val="32"/>
        </w:rPr>
        <w:t>舶等燃料费、维修费、保险费等。</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（十三）公务用车购置：</w:t>
      </w:r>
      <w:r>
        <w:rPr>
          <w:rFonts w:ascii="仿宋_GB2312" w:eastAsia="仿宋_GB2312" w:hAnsi="宋体" w:cs="Times New Roman" w:hint="eastAsia"/>
          <w:color w:val="000000"/>
          <w:kern w:val="0"/>
          <w:sz w:val="32"/>
          <w:szCs w:val="32"/>
        </w:rPr>
        <w:t>填列单位公务用车车辆购置支出（含车辆购置税、牌照费）。</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（十四）其他交通工具购置：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填列单位除公务用车外的其他各类交通工具（如船舶、飞机等）购置支出（含车辆购置税、牌照费）。</w:t>
      </w:r>
    </w:p>
    <w:p w:rsidR="00E77C63" w:rsidRDefault="00720BD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（十五）机关运行经费：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E77C63" w:rsidRDefault="00720BDD">
      <w:pPr>
        <w:tabs>
          <w:tab w:val="left" w:pos="235"/>
        </w:tabs>
        <w:spacing w:line="600" w:lineRule="exact"/>
        <w:ind w:firstLineChars="200" w:firstLine="643"/>
        <w:jc w:val="left"/>
        <w:rPr>
          <w:rFonts w:ascii="仿宋_GB2312" w:eastAsia="仿宋_GB2312" w:hAnsi="Cambria" w:cs="Arial Black"/>
          <w:kern w:val="0"/>
          <w:sz w:val="32"/>
          <w:szCs w:val="32"/>
        </w:rPr>
      </w:pPr>
      <w:r>
        <w:rPr>
          <w:rFonts w:ascii="仿宋_GB2312" w:eastAsia="仿宋_GB2312" w:hAnsi="宋体" w:cs="Times New Roman" w:hint="eastAsia"/>
          <w:b/>
          <w:bCs/>
          <w:color w:val="000000"/>
          <w:kern w:val="0"/>
          <w:sz w:val="32"/>
          <w:szCs w:val="32"/>
        </w:rPr>
        <w:t>（</w:t>
      </w:r>
      <w:r>
        <w:rPr>
          <w:rFonts w:ascii="仿宋_GB2312" w:eastAsia="仿宋_GB2312" w:hAnsi="宋体" w:cs="Times New Roman" w:hint="eastAsia"/>
          <w:b/>
          <w:bCs/>
          <w:color w:val="000000"/>
          <w:kern w:val="0"/>
          <w:sz w:val="32"/>
          <w:szCs w:val="32"/>
        </w:rPr>
        <w:t>十六）经费形式</w:t>
      </w:r>
      <w:r>
        <w:rPr>
          <w:rFonts w:ascii="仿宋_GB2312" w:eastAsia="仿宋_GB2312" w:hAnsi="宋体" w:cs="Times New Roman" w:hint="eastAsia"/>
          <w:b/>
          <w:bCs/>
          <w:color w:val="000000"/>
          <w:kern w:val="0"/>
          <w:sz w:val="32"/>
          <w:szCs w:val="32"/>
        </w:rPr>
        <w:t>:</w:t>
      </w:r>
      <w:r>
        <w:rPr>
          <w:rFonts w:ascii="仿宋_GB2312" w:eastAsia="仿宋_GB2312" w:hAnsi="宋体" w:cs="Times New Roman" w:hint="eastAsia"/>
          <w:color w:val="000000"/>
          <w:kern w:val="0"/>
          <w:sz w:val="32"/>
          <w:szCs w:val="32"/>
        </w:rPr>
        <w:t>按照经费来源，</w:t>
      </w:r>
      <w:r>
        <w:rPr>
          <w:rFonts w:ascii="仿宋_GB2312" w:eastAsia="仿宋_GB2312" w:hAnsi="Cambria" w:cs="Arial Black" w:hint="eastAsia"/>
          <w:kern w:val="0"/>
          <w:sz w:val="32"/>
          <w:szCs w:val="32"/>
        </w:rPr>
        <w:t>可分为财政拨款、财政性资金基本保证、财政性资金定额或定项补助、财政性资金零补助四类。</w:t>
      </w:r>
    </w:p>
    <w:p w:rsidR="00E77C63" w:rsidRDefault="00E77C63">
      <w:pPr>
        <w:tabs>
          <w:tab w:val="left" w:pos="235"/>
        </w:tabs>
        <w:spacing w:line="600" w:lineRule="exact"/>
        <w:ind w:firstLineChars="200" w:firstLine="640"/>
        <w:jc w:val="left"/>
        <w:rPr>
          <w:rFonts w:ascii="仿宋_GB2312" w:eastAsia="仿宋_GB2312" w:hAnsi="Cambria" w:cs="Arial Black"/>
          <w:kern w:val="0"/>
          <w:sz w:val="32"/>
          <w:szCs w:val="32"/>
        </w:rPr>
      </w:pPr>
    </w:p>
    <w:p w:rsidR="00E77C63" w:rsidRDefault="00E77C63">
      <w:pPr>
        <w:tabs>
          <w:tab w:val="left" w:pos="235"/>
        </w:tabs>
        <w:spacing w:line="600" w:lineRule="exact"/>
        <w:ind w:firstLineChars="200" w:firstLine="640"/>
        <w:jc w:val="left"/>
        <w:rPr>
          <w:rFonts w:ascii="仿宋_GB2312" w:eastAsia="仿宋_GB2312" w:hAnsi="Cambria" w:cs="Arial Black"/>
          <w:kern w:val="0"/>
          <w:sz w:val="32"/>
          <w:szCs w:val="32"/>
        </w:rPr>
      </w:pPr>
    </w:p>
    <w:p w:rsidR="00E77C63" w:rsidRDefault="00E77C63">
      <w:pPr>
        <w:tabs>
          <w:tab w:val="left" w:pos="235"/>
        </w:tabs>
        <w:spacing w:line="600" w:lineRule="exact"/>
        <w:ind w:firstLineChars="200" w:firstLine="640"/>
        <w:jc w:val="left"/>
        <w:rPr>
          <w:rFonts w:ascii="仿宋_GB2312" w:eastAsia="仿宋_GB2312" w:hAnsi="Cambria" w:cs="Arial Black"/>
          <w:kern w:val="0"/>
          <w:sz w:val="32"/>
          <w:szCs w:val="32"/>
        </w:rPr>
      </w:pPr>
    </w:p>
    <w:p w:rsidR="00E77C63" w:rsidRDefault="00E77C63">
      <w:pPr>
        <w:tabs>
          <w:tab w:val="left" w:pos="235"/>
        </w:tabs>
        <w:spacing w:line="600" w:lineRule="exact"/>
        <w:ind w:firstLineChars="200" w:firstLine="640"/>
        <w:jc w:val="left"/>
        <w:rPr>
          <w:rFonts w:ascii="仿宋_GB2312" w:eastAsia="仿宋_GB2312" w:hAnsi="Cambria" w:cs="Arial Black"/>
          <w:kern w:val="0"/>
          <w:sz w:val="32"/>
          <w:szCs w:val="32"/>
        </w:rPr>
      </w:pPr>
    </w:p>
    <w:p w:rsidR="00E77C63" w:rsidRDefault="00E77C63">
      <w:pPr>
        <w:tabs>
          <w:tab w:val="left" w:pos="235"/>
        </w:tabs>
        <w:spacing w:line="600" w:lineRule="exact"/>
        <w:ind w:firstLineChars="200" w:firstLine="640"/>
        <w:jc w:val="left"/>
        <w:rPr>
          <w:rFonts w:ascii="仿宋_GB2312" w:eastAsia="仿宋_GB2312" w:hAnsi="Cambria" w:cs="Arial Black"/>
          <w:kern w:val="0"/>
          <w:sz w:val="32"/>
          <w:szCs w:val="32"/>
        </w:rPr>
      </w:pPr>
    </w:p>
    <w:p w:rsidR="00E77C63" w:rsidRDefault="00E77C63" w:rsidP="00203209">
      <w:pPr>
        <w:tabs>
          <w:tab w:val="left" w:pos="235"/>
        </w:tabs>
        <w:spacing w:line="600" w:lineRule="exact"/>
        <w:jc w:val="left"/>
        <w:rPr>
          <w:rFonts w:ascii="仿宋_GB2312" w:eastAsia="仿宋_GB2312" w:hAnsi="Cambria" w:cs="Arial Black" w:hint="eastAsia"/>
          <w:kern w:val="0"/>
          <w:sz w:val="32"/>
          <w:szCs w:val="32"/>
        </w:rPr>
      </w:pPr>
    </w:p>
    <w:p w:rsidR="00203209" w:rsidRDefault="00203209" w:rsidP="00203209">
      <w:pPr>
        <w:tabs>
          <w:tab w:val="left" w:pos="235"/>
        </w:tabs>
        <w:spacing w:line="600" w:lineRule="exact"/>
        <w:jc w:val="left"/>
        <w:rPr>
          <w:rFonts w:ascii="仿宋_GB2312" w:eastAsia="仿宋_GB2312" w:hAnsi="Cambria" w:cs="Arial Black" w:hint="eastAsia"/>
          <w:kern w:val="0"/>
          <w:sz w:val="32"/>
          <w:szCs w:val="32"/>
        </w:rPr>
      </w:pPr>
    </w:p>
    <w:p w:rsidR="00203209" w:rsidRDefault="00203209" w:rsidP="00203209">
      <w:pPr>
        <w:tabs>
          <w:tab w:val="left" w:pos="235"/>
        </w:tabs>
        <w:spacing w:line="600" w:lineRule="exact"/>
        <w:jc w:val="left"/>
        <w:rPr>
          <w:rFonts w:ascii="仿宋_GB2312" w:eastAsia="仿宋_GB2312" w:hAnsi="Cambria" w:cs="Arial Black" w:hint="eastAsia"/>
          <w:kern w:val="0"/>
          <w:sz w:val="32"/>
          <w:szCs w:val="32"/>
        </w:rPr>
      </w:pPr>
    </w:p>
    <w:p w:rsidR="00203209" w:rsidRDefault="00203209" w:rsidP="00203209">
      <w:pPr>
        <w:tabs>
          <w:tab w:val="left" w:pos="235"/>
        </w:tabs>
        <w:spacing w:line="600" w:lineRule="exact"/>
        <w:jc w:val="left"/>
        <w:rPr>
          <w:rFonts w:ascii="仿宋_GB2312" w:eastAsia="仿宋_GB2312" w:hAnsi="Cambria" w:cs="Arial Black" w:hint="eastAsia"/>
          <w:kern w:val="0"/>
          <w:sz w:val="32"/>
          <w:szCs w:val="32"/>
        </w:rPr>
      </w:pPr>
    </w:p>
    <w:p w:rsidR="00203209" w:rsidRDefault="00203209" w:rsidP="00203209">
      <w:pPr>
        <w:tabs>
          <w:tab w:val="left" w:pos="235"/>
        </w:tabs>
        <w:spacing w:line="600" w:lineRule="exact"/>
        <w:jc w:val="left"/>
        <w:rPr>
          <w:rFonts w:ascii="仿宋_GB2312" w:eastAsia="仿宋_GB2312" w:hAnsi="Cambria" w:cs="Arial Black"/>
          <w:kern w:val="0"/>
          <w:sz w:val="32"/>
          <w:szCs w:val="32"/>
        </w:rPr>
      </w:pPr>
    </w:p>
    <w:p w:rsidR="00E77C63" w:rsidRDefault="00E77C63">
      <w:pPr>
        <w:widowControl/>
        <w:spacing w:after="160" w:line="580" w:lineRule="exact"/>
        <w:rPr>
          <w:rFonts w:ascii="Times New Roman" w:eastAsia="黑体" w:hAnsi="Times New Roman" w:cs="Times New Roman"/>
          <w:sz w:val="32"/>
          <w:szCs w:val="32"/>
        </w:rPr>
        <w:sectPr w:rsidR="00E77C63">
          <w:headerReference w:type="default" r:id="rId24"/>
          <w:pgSz w:w="11906" w:h="16838"/>
          <w:pgMar w:top="2098" w:right="1531" w:bottom="1984" w:left="1531" w:header="851" w:footer="992" w:gutter="0"/>
          <w:pgNumType w:fmt="numberInDash"/>
          <w:cols w:space="0"/>
          <w:titlePg/>
          <w:docGrid w:type="lines" w:linePitch="312"/>
        </w:sectPr>
      </w:pPr>
    </w:p>
    <w:p w:rsidR="00E77C63" w:rsidRDefault="00E77C63">
      <w:pPr>
        <w:rPr>
          <w:rFonts w:ascii="黑体" w:eastAsia="黑体" w:hAnsi="黑体" w:cs="黑体"/>
          <w:sz w:val="56"/>
          <w:szCs w:val="72"/>
        </w:rPr>
        <w:sectPr w:rsidR="00E77C63">
          <w:type w:val="continuous"/>
          <w:pgSz w:w="11906" w:h="16838"/>
          <w:pgMar w:top="2098" w:right="1531" w:bottom="1984" w:left="1531" w:header="851" w:footer="992" w:gutter="0"/>
          <w:pgNumType w:fmt="numberInDash"/>
          <w:cols w:space="0"/>
          <w:titlePg/>
          <w:docGrid w:type="lines" w:linePitch="312"/>
        </w:sectPr>
      </w:pPr>
      <w:r w:rsidRPr="00E77C63">
        <w:rPr>
          <w:sz w:val="72"/>
        </w:rPr>
        <w:lastRenderedPageBreak/>
        <w:pict>
          <v:shape id="_x0000_s1028" type="#_x0000_t202" style="position:absolute;left:0;text-align:left;margin-left:-80.9pt;margin-top:90.65pt;width:613.65pt;height:263.1pt;z-index:251666432;v-text-anchor:middle"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fillcolor="#7f7f7f" strokecolor="#a6a6a6" strokeweight="1pt">
            <v:fill r:id="rId13" o:title="5%" type="pattern"/>
            <v:stroke joinstyle="round"/>
            <v:textbox>
              <w:txbxContent>
                <w:p w:rsidR="00E77C63" w:rsidRDefault="00720BDD">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第四部分</w:t>
                  </w:r>
                  <w:r>
                    <w:rPr>
                      <w:rFonts w:ascii="黑体" w:eastAsia="黑体" w:hAnsi="黑体" w:cs="黑体" w:hint="eastAsia"/>
                      <w:color w:val="000000" w:themeColor="text1"/>
                      <w:sz w:val="90"/>
                      <w:szCs w:val="90"/>
                    </w:rPr>
                    <w:t xml:space="preserve"> </w:t>
                  </w:r>
                </w:p>
                <w:p w:rsidR="00E77C63" w:rsidRDefault="00720BDD">
                  <w:pPr>
                    <w:widowControl/>
                    <w:jc w:val="center"/>
                  </w:pPr>
                  <w:r>
                    <w:rPr>
                      <w:rFonts w:ascii="黑体" w:eastAsia="黑体" w:hAnsi="黑体" w:cs="黑体" w:hint="eastAsia"/>
                      <w:color w:val="000000" w:themeColor="text1"/>
                      <w:sz w:val="90"/>
                      <w:szCs w:val="90"/>
                    </w:rPr>
                    <w:t>2020</w:t>
                  </w:r>
                  <w:r>
                    <w:rPr>
                      <w:rFonts w:ascii="黑体" w:eastAsia="黑体" w:hAnsi="黑体" w:cs="黑体" w:hint="eastAsia"/>
                      <w:color w:val="000000" w:themeColor="text1"/>
                      <w:sz w:val="90"/>
                      <w:szCs w:val="90"/>
                    </w:rPr>
                    <w:t>年度部门决算报表</w:t>
                  </w:r>
                </w:p>
                <w:p w:rsidR="00E77C63" w:rsidRDefault="00E77C63"/>
              </w:txbxContent>
            </v:textbox>
          </v:shape>
        </w:pict>
      </w:r>
    </w:p>
    <w:tbl>
      <w:tblPr>
        <w:tblpPr w:leftFromText="180" w:rightFromText="180" w:vertAnchor="text" w:horzAnchor="page" w:tblpXSpec="center" w:tblpY="31"/>
        <w:tblOverlap w:val="never"/>
        <w:tblW w:w="9434" w:type="dxa"/>
        <w:jc w:val="center"/>
        <w:tblLayout w:type="fixed"/>
        <w:tblCellMar>
          <w:left w:w="0" w:type="dxa"/>
          <w:right w:w="0" w:type="dxa"/>
        </w:tblCellMar>
        <w:tblLook w:val="04A0"/>
      </w:tblPr>
      <w:tblGrid>
        <w:gridCol w:w="3207"/>
        <w:gridCol w:w="483"/>
        <w:gridCol w:w="927"/>
        <w:gridCol w:w="3443"/>
        <w:gridCol w:w="430"/>
        <w:gridCol w:w="944"/>
      </w:tblGrid>
      <w:tr w:rsidR="00E77C63">
        <w:trPr>
          <w:trHeight w:val="499"/>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rsidR="00E77C63" w:rsidRDefault="00720BDD" w:rsidP="00203209">
            <w:pPr>
              <w:spacing w:line="400" w:lineRule="exact"/>
              <w:jc w:val="center"/>
              <w:rPr>
                <w:rFonts w:ascii="黑体" w:eastAsia="黑体" w:hAnsi="宋体" w:cs="黑体"/>
                <w:color w:val="000000"/>
                <w:sz w:val="28"/>
                <w:szCs w:val="28"/>
              </w:rPr>
            </w:pPr>
            <w:r>
              <w:rPr>
                <w:rFonts w:ascii="黑体" w:eastAsia="黑体" w:hAnsi="宋体" w:cs="黑体" w:hint="eastAsia"/>
                <w:color w:val="000000"/>
                <w:kern w:val="0"/>
                <w:sz w:val="28"/>
                <w:szCs w:val="28"/>
                <w:lang/>
              </w:rPr>
              <w:lastRenderedPageBreak/>
              <w:t>收入支出决算总表</w:t>
            </w:r>
          </w:p>
        </w:tc>
      </w:tr>
      <w:tr w:rsidR="00E77C63">
        <w:trPr>
          <w:trHeight w:val="285"/>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rsidR="00E77C63" w:rsidRDefault="00E77C63" w:rsidP="00203209">
            <w:pPr>
              <w:spacing w:line="240" w:lineRule="exact"/>
              <w:rPr>
                <w:rFonts w:ascii="Arial" w:hAnsi="Arial" w:cs="Arial"/>
                <w:color w:val="000000"/>
                <w:sz w:val="18"/>
                <w:szCs w:val="18"/>
              </w:rPr>
            </w:pPr>
          </w:p>
        </w:tc>
        <w:tc>
          <w:tcPr>
            <w:tcW w:w="483" w:type="dxa"/>
            <w:tcBorders>
              <w:top w:val="nil"/>
              <w:left w:val="nil"/>
              <w:bottom w:val="nil"/>
              <w:right w:val="nil"/>
            </w:tcBorders>
            <w:shd w:val="clear" w:color="auto" w:fill="auto"/>
            <w:noWrap/>
            <w:tcMar>
              <w:top w:w="15" w:type="dxa"/>
              <w:left w:w="15" w:type="dxa"/>
              <w:right w:w="15" w:type="dxa"/>
            </w:tcMar>
            <w:vAlign w:val="bottom"/>
          </w:tcPr>
          <w:p w:rsidR="00E77C63" w:rsidRDefault="00E77C63" w:rsidP="00203209">
            <w:pPr>
              <w:spacing w:line="240" w:lineRule="exact"/>
              <w:rPr>
                <w:rFonts w:ascii="Arial" w:hAnsi="Arial" w:cs="Arial"/>
                <w:color w:val="000000"/>
                <w:sz w:val="18"/>
                <w:szCs w:val="18"/>
              </w:rPr>
            </w:pPr>
          </w:p>
        </w:tc>
        <w:tc>
          <w:tcPr>
            <w:tcW w:w="927" w:type="dxa"/>
            <w:tcBorders>
              <w:top w:val="nil"/>
              <w:left w:val="nil"/>
              <w:bottom w:val="nil"/>
              <w:right w:val="nil"/>
            </w:tcBorders>
            <w:shd w:val="clear" w:color="auto" w:fill="auto"/>
            <w:noWrap/>
            <w:tcMar>
              <w:top w:w="15" w:type="dxa"/>
              <w:left w:w="15" w:type="dxa"/>
              <w:right w:w="15" w:type="dxa"/>
            </w:tcMar>
            <w:vAlign w:val="bottom"/>
          </w:tcPr>
          <w:p w:rsidR="00E77C63" w:rsidRDefault="00E77C63" w:rsidP="00203209">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rsidR="00E77C63" w:rsidRDefault="00720BDD" w:rsidP="00203209">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公开</w:t>
            </w:r>
            <w:r>
              <w:rPr>
                <w:rFonts w:ascii="宋体" w:eastAsia="宋体" w:hAnsi="宋体" w:cs="宋体" w:hint="eastAsia"/>
                <w:color w:val="000000"/>
                <w:kern w:val="0"/>
                <w:sz w:val="18"/>
                <w:szCs w:val="18"/>
                <w:lang/>
              </w:rPr>
              <w:t>01</w:t>
            </w:r>
            <w:r w:rsidR="00203209">
              <w:rPr>
                <w:rFonts w:ascii="宋体" w:eastAsia="宋体" w:hAnsi="宋体" w:cs="宋体" w:hint="eastAsia"/>
                <w:color w:val="000000"/>
                <w:kern w:val="0"/>
                <w:sz w:val="18"/>
                <w:szCs w:val="18"/>
                <w:lang/>
              </w:rPr>
              <w:t>表</w:t>
            </w:r>
          </w:p>
        </w:tc>
      </w:tr>
      <w:tr w:rsidR="00E77C63">
        <w:trPr>
          <w:trHeight w:val="430"/>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rsidR="00E77C63" w:rsidRDefault="00720BDD" w:rsidP="00203209">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部门：</w:t>
            </w:r>
            <w:r>
              <w:rPr>
                <w:rFonts w:ascii="Arial" w:hAnsi="Arial" w:cs="Arial" w:hint="eastAsia"/>
                <w:color w:val="000000"/>
                <w:sz w:val="18"/>
                <w:szCs w:val="18"/>
              </w:rPr>
              <w:t>张家口市第四医院</w:t>
            </w:r>
          </w:p>
        </w:tc>
        <w:tc>
          <w:tcPr>
            <w:tcW w:w="483" w:type="dxa"/>
            <w:tcBorders>
              <w:top w:val="nil"/>
              <w:left w:val="nil"/>
              <w:bottom w:val="nil"/>
              <w:right w:val="nil"/>
            </w:tcBorders>
            <w:shd w:val="clear" w:color="auto" w:fill="auto"/>
            <w:noWrap/>
            <w:tcMar>
              <w:top w:w="15" w:type="dxa"/>
              <w:left w:w="15" w:type="dxa"/>
              <w:right w:w="15" w:type="dxa"/>
            </w:tcMar>
            <w:vAlign w:val="bottom"/>
          </w:tcPr>
          <w:p w:rsidR="00E77C63" w:rsidRDefault="00E77C63" w:rsidP="00203209">
            <w:pPr>
              <w:spacing w:line="240" w:lineRule="exact"/>
              <w:rPr>
                <w:rFonts w:ascii="Arial" w:hAnsi="Arial" w:cs="Arial"/>
                <w:color w:val="000000"/>
                <w:sz w:val="18"/>
                <w:szCs w:val="18"/>
              </w:rPr>
            </w:pPr>
          </w:p>
        </w:tc>
        <w:tc>
          <w:tcPr>
            <w:tcW w:w="927" w:type="dxa"/>
            <w:tcBorders>
              <w:top w:val="nil"/>
              <w:left w:val="nil"/>
              <w:bottom w:val="nil"/>
              <w:right w:val="nil"/>
            </w:tcBorders>
            <w:shd w:val="clear" w:color="auto" w:fill="auto"/>
            <w:noWrap/>
            <w:tcMar>
              <w:top w:w="15" w:type="dxa"/>
              <w:left w:w="15" w:type="dxa"/>
              <w:right w:w="15" w:type="dxa"/>
            </w:tcMar>
            <w:vAlign w:val="bottom"/>
          </w:tcPr>
          <w:p w:rsidR="00E77C63" w:rsidRDefault="00E77C63" w:rsidP="00203209">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rsidR="00E77C63" w:rsidRDefault="00720BDD" w:rsidP="00203209">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金额单位：万元</w:t>
            </w:r>
          </w:p>
        </w:tc>
      </w:tr>
      <w:tr w:rsidR="00E77C63">
        <w:trPr>
          <w:trHeight w:val="290"/>
          <w:jc w:val="center"/>
        </w:trPr>
        <w:tc>
          <w:tcPr>
            <w:tcW w:w="461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收入</w:t>
            </w:r>
          </w:p>
        </w:tc>
        <w:tc>
          <w:tcPr>
            <w:tcW w:w="4817"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支出</w:t>
            </w:r>
          </w:p>
        </w:tc>
      </w:tr>
      <w:tr w:rsidR="00E77C63">
        <w:trPr>
          <w:trHeight w:val="37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项目</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行次</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金额</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项目</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行次</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金额</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栏次</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栏次</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一、一般公共预算财政拨款收入</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1276.21</w:t>
            </w: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一、一般公共服务支出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29</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二、政府性基金预算财政拨款收入</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二、外交支出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30</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185"/>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三、上级补助收入</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三、国防支出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31</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四、事业收入</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15396.23</w:t>
            </w: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四、公共安全支出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32</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五、经营收入</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5</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五、教育支出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33</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六、附属单位上缴收入</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6</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六、科学技术支出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34</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七、其他收入</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7</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354.36</w:t>
            </w: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七、文化旅游体育与传媒支出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35</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8</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八、社会保障和就业支出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36</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1.92</w:t>
            </w: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9</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九、卫生健康支出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37</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17388.90</w:t>
            </w: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10</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十、节能环保支出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38</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11</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十一、城乡社区支出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39</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12</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十二、农林水支出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40</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13</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十三、交通运输支出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41</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14</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十四、资源勘探信息等支出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42</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15</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十五、商业服务业等支出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43</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16</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十六、金融支出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44</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17</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十七、援助其他地区支出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45</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18</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十八、自然资源海洋气象等支出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46</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19</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十九、住房保障支出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47</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20</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二十、粮油物资储备支出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48</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AC1EA5">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left"/>
              <w:textAlignment w:val="center"/>
              <w:rPr>
                <w:rFonts w:ascii="宋体" w:eastAsia="宋体" w:hAnsi="宋体" w:cs="宋体" w:hint="eastAsia"/>
                <w:color w:val="000000"/>
                <w:kern w:val="0"/>
                <w:sz w:val="18"/>
                <w:szCs w:val="18"/>
                <w:lang/>
              </w:rPr>
            </w:pP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center"/>
              <w:textAlignment w:val="center"/>
              <w:rPr>
                <w:rFonts w:ascii="宋体" w:eastAsia="宋体" w:hAnsi="宋体" w:cs="宋体" w:hint="eastAsia"/>
                <w:color w:val="000000"/>
                <w:kern w:val="0"/>
                <w:sz w:val="18"/>
                <w:szCs w:val="18"/>
                <w:lang/>
              </w:rPr>
            </w:pPr>
            <w:r>
              <w:rPr>
                <w:rFonts w:ascii="宋体" w:eastAsia="宋体" w:hAnsi="宋体" w:cs="宋体" w:hint="eastAsia"/>
                <w:color w:val="000000"/>
                <w:kern w:val="0"/>
                <w:sz w:val="18"/>
                <w:szCs w:val="18"/>
                <w:lang/>
              </w:rPr>
              <w:t>20</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right"/>
              <w:textAlignment w:val="center"/>
              <w:rPr>
                <w:rFonts w:ascii="宋体" w:eastAsia="宋体" w:hAnsi="宋体" w:cs="宋体" w:hint="eastAsia"/>
                <w:color w:val="000000"/>
                <w:kern w:val="0"/>
                <w:sz w:val="18"/>
                <w:szCs w:val="18"/>
                <w:lang/>
              </w:rPr>
            </w:pP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left"/>
              <w:textAlignment w:val="center"/>
              <w:rPr>
                <w:rFonts w:ascii="宋体" w:eastAsia="宋体" w:hAnsi="宋体" w:cs="宋体" w:hint="eastAsia"/>
                <w:color w:val="000000"/>
                <w:kern w:val="0"/>
                <w:sz w:val="18"/>
                <w:szCs w:val="18"/>
                <w:lang/>
              </w:rPr>
            </w:pPr>
            <w:r>
              <w:rPr>
                <w:rFonts w:ascii="宋体" w:eastAsia="宋体" w:hAnsi="宋体" w:cs="宋体" w:hint="eastAsia"/>
                <w:color w:val="000000"/>
                <w:kern w:val="0"/>
                <w:sz w:val="18"/>
                <w:szCs w:val="18"/>
                <w:lang/>
              </w:rPr>
              <w:t>二十一、国有资本经营预算支出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center"/>
              <w:textAlignment w:val="center"/>
              <w:rPr>
                <w:rFonts w:ascii="宋体" w:eastAsia="宋体" w:hAnsi="宋体" w:cs="宋体" w:hint="eastAsia"/>
                <w:color w:val="000000"/>
                <w:kern w:val="0"/>
                <w:sz w:val="18"/>
                <w:szCs w:val="18"/>
                <w:lang/>
              </w:rPr>
            </w:pPr>
            <w:r>
              <w:rPr>
                <w:rFonts w:ascii="宋体" w:eastAsia="宋体" w:hAnsi="宋体" w:cs="宋体" w:hint="eastAsia"/>
                <w:color w:val="000000"/>
                <w:kern w:val="0"/>
                <w:sz w:val="18"/>
                <w:szCs w:val="18"/>
                <w:lang/>
              </w:rPr>
              <w:t>49</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right"/>
              <w:textAlignment w:val="center"/>
              <w:rPr>
                <w:rFonts w:ascii="宋体" w:eastAsia="宋体" w:hAnsi="宋体" w:cs="宋体" w:hint="eastAsia"/>
                <w:color w:val="000000"/>
                <w:kern w:val="0"/>
                <w:sz w:val="18"/>
                <w:szCs w:val="18"/>
                <w:lang/>
              </w:rPr>
            </w:pP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21</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二十</w:t>
            </w:r>
            <w:r w:rsidR="00AC1EA5">
              <w:rPr>
                <w:rFonts w:ascii="宋体" w:eastAsia="宋体" w:hAnsi="宋体" w:cs="宋体" w:hint="eastAsia"/>
                <w:color w:val="000000"/>
                <w:kern w:val="0"/>
                <w:sz w:val="18"/>
                <w:szCs w:val="18"/>
                <w:lang/>
              </w:rPr>
              <w:t>二</w:t>
            </w:r>
            <w:r>
              <w:rPr>
                <w:rFonts w:ascii="宋体" w:eastAsia="宋体" w:hAnsi="宋体" w:cs="宋体" w:hint="eastAsia"/>
                <w:color w:val="000000"/>
                <w:kern w:val="0"/>
                <w:sz w:val="18"/>
                <w:szCs w:val="18"/>
                <w:lang/>
              </w:rPr>
              <w:t>、灾害防治及应急管理支出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Pr="00AC1EA5" w:rsidRDefault="00AC1EA5" w:rsidP="00203209">
            <w:pPr>
              <w:widowControl/>
              <w:jc w:val="center"/>
              <w:textAlignment w:val="center"/>
              <w:rPr>
                <w:rFonts w:ascii="宋体" w:eastAsia="宋体" w:hAnsi="宋体" w:cs="宋体"/>
                <w:color w:val="000000"/>
                <w:kern w:val="0"/>
                <w:sz w:val="18"/>
                <w:szCs w:val="18"/>
                <w:lang/>
              </w:rPr>
            </w:pPr>
            <w:r>
              <w:rPr>
                <w:rFonts w:ascii="宋体" w:eastAsia="宋体" w:hAnsi="宋体" w:cs="宋体" w:hint="eastAsia"/>
                <w:color w:val="000000"/>
                <w:kern w:val="0"/>
                <w:sz w:val="18"/>
                <w:szCs w:val="18"/>
                <w:lang/>
              </w:rPr>
              <w:t>50</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22</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二十</w:t>
            </w:r>
            <w:r w:rsidR="00AC1EA5">
              <w:rPr>
                <w:rFonts w:ascii="宋体" w:eastAsia="宋体" w:hAnsi="宋体" w:cs="宋体" w:hint="eastAsia"/>
                <w:color w:val="000000"/>
                <w:kern w:val="0"/>
                <w:sz w:val="18"/>
                <w:szCs w:val="18"/>
                <w:lang/>
              </w:rPr>
              <w:t>三</w:t>
            </w:r>
            <w:r>
              <w:rPr>
                <w:rFonts w:ascii="宋体" w:eastAsia="宋体" w:hAnsi="宋体" w:cs="宋体" w:hint="eastAsia"/>
                <w:color w:val="000000"/>
                <w:kern w:val="0"/>
                <w:sz w:val="18"/>
                <w:szCs w:val="18"/>
                <w:lang/>
              </w:rPr>
              <w:t>、其他支出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5</w:t>
            </w:r>
            <w:r w:rsidR="00AC1EA5">
              <w:rPr>
                <w:rFonts w:ascii="宋体" w:eastAsia="宋体" w:hAnsi="宋体" w:cs="宋体" w:hint="eastAsia"/>
                <w:color w:val="000000"/>
                <w:kern w:val="0"/>
                <w:sz w:val="18"/>
                <w:szCs w:val="18"/>
                <w:lang/>
              </w:rPr>
              <w:t>1</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23</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二十四、债务</w:t>
            </w:r>
            <w:r w:rsidR="00AC1EA5">
              <w:rPr>
                <w:rFonts w:ascii="宋体" w:eastAsia="宋体" w:hAnsi="宋体" w:cs="宋体" w:hint="eastAsia"/>
                <w:color w:val="000000"/>
                <w:kern w:val="0"/>
                <w:sz w:val="18"/>
                <w:szCs w:val="18"/>
                <w:lang/>
              </w:rPr>
              <w:t>还本</w:t>
            </w:r>
            <w:r>
              <w:rPr>
                <w:rFonts w:ascii="宋体" w:eastAsia="宋体" w:hAnsi="宋体" w:cs="宋体" w:hint="eastAsia"/>
                <w:color w:val="000000"/>
                <w:kern w:val="0"/>
                <w:sz w:val="18"/>
                <w:szCs w:val="18"/>
                <w:lang/>
              </w:rPr>
              <w:t>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5</w:t>
            </w:r>
            <w:r w:rsidR="00AC1EA5">
              <w:rPr>
                <w:rFonts w:ascii="宋体" w:eastAsia="宋体" w:hAnsi="宋体" w:cs="宋体" w:hint="eastAsia"/>
                <w:color w:val="000000"/>
                <w:kern w:val="0"/>
                <w:sz w:val="18"/>
                <w:szCs w:val="18"/>
                <w:lang/>
              </w:rPr>
              <w:t>2</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AC1EA5">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C1EA5" w:rsidRPr="00AC1EA5" w:rsidRDefault="00AC1EA5" w:rsidP="00203209">
            <w:pPr>
              <w:widowControl/>
              <w:jc w:val="left"/>
              <w:textAlignment w:val="center"/>
              <w:rPr>
                <w:rFonts w:ascii="宋体" w:eastAsia="宋体" w:hAnsi="宋体" w:cs="宋体" w:hint="eastAsia"/>
                <w:color w:val="000000"/>
                <w:kern w:val="0"/>
                <w:sz w:val="18"/>
                <w:szCs w:val="18"/>
                <w:lang/>
              </w:rPr>
            </w:pP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center"/>
              <w:textAlignment w:val="center"/>
              <w:rPr>
                <w:rFonts w:ascii="宋体" w:eastAsia="宋体" w:hAnsi="宋体" w:cs="宋体" w:hint="eastAsia"/>
                <w:color w:val="000000"/>
                <w:kern w:val="0"/>
                <w:sz w:val="18"/>
                <w:szCs w:val="18"/>
                <w:lang/>
              </w:rPr>
            </w:pPr>
            <w:r>
              <w:rPr>
                <w:rFonts w:ascii="宋体" w:eastAsia="宋体" w:hAnsi="宋体" w:cs="宋体" w:hint="eastAsia"/>
                <w:color w:val="000000"/>
                <w:kern w:val="0"/>
                <w:sz w:val="18"/>
                <w:szCs w:val="18"/>
                <w:lang/>
              </w:rPr>
              <w:t>24</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left"/>
              <w:textAlignment w:val="center"/>
              <w:rPr>
                <w:rFonts w:ascii="宋体" w:eastAsia="宋体" w:hAnsi="宋体" w:cs="宋体" w:hint="eastAsia"/>
                <w:color w:val="000000"/>
                <w:kern w:val="0"/>
                <w:sz w:val="18"/>
                <w:szCs w:val="18"/>
                <w:lang/>
              </w:rPr>
            </w:pP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Pr="00AC1EA5" w:rsidRDefault="00AC1EA5" w:rsidP="00203209">
            <w:pPr>
              <w:widowControl/>
              <w:jc w:val="left"/>
              <w:textAlignment w:val="center"/>
              <w:rPr>
                <w:rFonts w:ascii="宋体" w:eastAsia="宋体" w:hAnsi="宋体" w:cs="宋体" w:hint="eastAsia"/>
                <w:color w:val="000000"/>
                <w:kern w:val="0"/>
                <w:sz w:val="18"/>
                <w:szCs w:val="18"/>
                <w:lang/>
              </w:rPr>
            </w:pPr>
            <w:r>
              <w:rPr>
                <w:rFonts w:ascii="宋体" w:eastAsia="宋体" w:hAnsi="宋体" w:cs="宋体" w:hint="eastAsia"/>
                <w:color w:val="000000"/>
                <w:kern w:val="0"/>
                <w:sz w:val="18"/>
                <w:szCs w:val="18"/>
                <w:lang/>
              </w:rPr>
              <w:t>二十五、债务付息支出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Pr="00AC1EA5" w:rsidRDefault="00AC1EA5" w:rsidP="00203209">
            <w:pPr>
              <w:widowControl/>
              <w:jc w:val="center"/>
              <w:textAlignment w:val="center"/>
              <w:rPr>
                <w:rFonts w:ascii="宋体" w:eastAsia="宋体" w:hAnsi="宋体" w:cs="宋体" w:hint="eastAsia"/>
                <w:color w:val="000000"/>
                <w:sz w:val="18"/>
                <w:szCs w:val="18"/>
              </w:rPr>
            </w:pPr>
            <w:r w:rsidRPr="00AC1EA5">
              <w:rPr>
                <w:rFonts w:ascii="宋体" w:eastAsia="宋体" w:hAnsi="宋体" w:cs="宋体" w:hint="eastAsia"/>
                <w:color w:val="000000"/>
                <w:sz w:val="18"/>
                <w:szCs w:val="18"/>
              </w:rPr>
              <w:t>53</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Pr="00AC1EA5" w:rsidRDefault="00AC1EA5" w:rsidP="00203209">
            <w:pPr>
              <w:widowControl/>
              <w:tabs>
                <w:tab w:val="left" w:pos="269"/>
                <w:tab w:val="right" w:pos="1108"/>
              </w:tabs>
              <w:jc w:val="center"/>
              <w:textAlignment w:val="center"/>
              <w:rPr>
                <w:rFonts w:ascii="宋体" w:eastAsia="宋体" w:hAnsi="宋体" w:cs="宋体" w:hint="eastAsia"/>
                <w:color w:val="000000"/>
                <w:sz w:val="18"/>
                <w:szCs w:val="18"/>
              </w:rPr>
            </w:pPr>
          </w:p>
        </w:tc>
      </w:tr>
      <w:tr w:rsidR="00AC1EA5">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C1EA5" w:rsidRPr="00AC1EA5" w:rsidRDefault="00AC1EA5" w:rsidP="00203209">
            <w:pPr>
              <w:widowControl/>
              <w:jc w:val="left"/>
              <w:textAlignment w:val="center"/>
              <w:rPr>
                <w:rFonts w:ascii="宋体" w:eastAsia="宋体" w:hAnsi="宋体" w:cs="宋体" w:hint="eastAsia"/>
                <w:color w:val="000000"/>
                <w:kern w:val="0"/>
                <w:sz w:val="18"/>
                <w:szCs w:val="18"/>
                <w:lang/>
              </w:rPr>
            </w:pP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center"/>
              <w:textAlignment w:val="center"/>
              <w:rPr>
                <w:rFonts w:ascii="宋体" w:eastAsia="宋体" w:hAnsi="宋体" w:cs="宋体" w:hint="eastAsia"/>
                <w:color w:val="000000"/>
                <w:kern w:val="0"/>
                <w:sz w:val="18"/>
                <w:szCs w:val="18"/>
                <w:lang/>
              </w:rPr>
            </w:pPr>
            <w:r>
              <w:rPr>
                <w:rFonts w:ascii="宋体" w:eastAsia="宋体" w:hAnsi="宋体" w:cs="宋体" w:hint="eastAsia"/>
                <w:color w:val="000000"/>
                <w:kern w:val="0"/>
                <w:sz w:val="18"/>
                <w:szCs w:val="18"/>
                <w:lang/>
              </w:rPr>
              <w:t>25</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Default="00AC1EA5" w:rsidP="00203209">
            <w:pPr>
              <w:widowControl/>
              <w:jc w:val="left"/>
              <w:textAlignment w:val="center"/>
              <w:rPr>
                <w:rFonts w:ascii="宋体" w:eastAsia="宋体" w:hAnsi="宋体" w:cs="宋体" w:hint="eastAsia"/>
                <w:color w:val="000000"/>
                <w:kern w:val="0"/>
                <w:sz w:val="18"/>
                <w:szCs w:val="18"/>
                <w:lang/>
              </w:rPr>
            </w:pP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Pr="00AC1EA5" w:rsidRDefault="00AC1EA5" w:rsidP="00203209">
            <w:pPr>
              <w:widowControl/>
              <w:jc w:val="left"/>
              <w:textAlignment w:val="center"/>
              <w:rPr>
                <w:rFonts w:ascii="宋体" w:eastAsia="宋体" w:hAnsi="宋体" w:cs="宋体" w:hint="eastAsia"/>
                <w:color w:val="000000"/>
                <w:kern w:val="0"/>
                <w:sz w:val="18"/>
                <w:szCs w:val="18"/>
                <w:lang/>
              </w:rPr>
            </w:pPr>
            <w:r>
              <w:rPr>
                <w:rFonts w:ascii="宋体" w:eastAsia="宋体" w:hAnsi="宋体" w:cs="宋体" w:hint="eastAsia"/>
                <w:color w:val="000000"/>
                <w:kern w:val="0"/>
                <w:sz w:val="18"/>
                <w:szCs w:val="18"/>
                <w:lang/>
              </w:rPr>
              <w:t>二十六、抗疫特别国债安排的支出</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Pr="00AC1EA5" w:rsidRDefault="00AC1EA5" w:rsidP="00203209">
            <w:pPr>
              <w:widowControl/>
              <w:jc w:val="center"/>
              <w:textAlignment w:val="center"/>
              <w:rPr>
                <w:rFonts w:ascii="宋体" w:eastAsia="宋体" w:hAnsi="宋体" w:cs="宋体" w:hint="eastAsia"/>
                <w:color w:val="000000"/>
                <w:sz w:val="18"/>
                <w:szCs w:val="18"/>
              </w:rPr>
            </w:pPr>
            <w:r w:rsidRPr="00AC1EA5">
              <w:rPr>
                <w:rFonts w:ascii="宋体" w:eastAsia="宋体" w:hAnsi="宋体" w:cs="宋体" w:hint="eastAsia"/>
                <w:color w:val="000000"/>
                <w:sz w:val="18"/>
                <w:szCs w:val="18"/>
              </w:rPr>
              <w:t>54</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C1EA5" w:rsidRPr="00AC1EA5" w:rsidRDefault="00AC1EA5" w:rsidP="00203209">
            <w:pPr>
              <w:widowControl/>
              <w:tabs>
                <w:tab w:val="left" w:pos="269"/>
                <w:tab w:val="right" w:pos="1108"/>
              </w:tabs>
              <w:jc w:val="center"/>
              <w:textAlignment w:val="center"/>
              <w:rPr>
                <w:rFonts w:ascii="宋体" w:eastAsia="宋体" w:hAnsi="宋体" w:cs="宋体" w:hint="eastAsia"/>
                <w:color w:val="000000"/>
                <w:sz w:val="18"/>
                <w:szCs w:val="18"/>
              </w:rPr>
            </w:pP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lang/>
              </w:rPr>
              <w:t>本年收入合计</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24</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17026.80</w:t>
            </w: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lang/>
              </w:rPr>
              <w:t>本年支出合计</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52</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tabs>
                <w:tab w:val="left" w:pos="269"/>
                <w:tab w:val="right" w:pos="1108"/>
              </w:tabs>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17390.82</w:t>
            </w:r>
            <w:r>
              <w:rPr>
                <w:rFonts w:ascii="宋体" w:eastAsia="宋体" w:hAnsi="宋体" w:cs="宋体" w:hint="eastAsia"/>
                <w:color w:val="000000"/>
                <w:kern w:val="0"/>
                <w:sz w:val="18"/>
                <w:szCs w:val="18"/>
                <w:lang/>
              </w:rPr>
              <w:tab/>
            </w: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65B29"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使用非财政拨款结余</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25</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415.07</w:t>
            </w: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结余分配</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53</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年初结转和结余</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26</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90.25</w:t>
            </w: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年末结转和结余</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54</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tabs>
                <w:tab w:val="center" w:pos="457"/>
                <w:tab w:val="right" w:pos="1214"/>
              </w:tabs>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ab/>
            </w:r>
            <w:r>
              <w:rPr>
                <w:rFonts w:ascii="宋体" w:eastAsia="宋体" w:hAnsi="宋体" w:cs="宋体" w:hint="eastAsia"/>
                <w:color w:val="000000"/>
                <w:kern w:val="0"/>
                <w:sz w:val="18"/>
                <w:szCs w:val="18"/>
                <w:lang/>
              </w:rPr>
              <w:t>141.30</w:t>
            </w:r>
            <w:r>
              <w:rPr>
                <w:rFonts w:ascii="宋体" w:eastAsia="宋体" w:hAnsi="宋体" w:cs="宋体" w:hint="eastAsia"/>
                <w:color w:val="000000"/>
                <w:kern w:val="0"/>
                <w:sz w:val="18"/>
                <w:szCs w:val="18"/>
                <w:lang/>
              </w:rPr>
              <w:tab/>
            </w: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27</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55</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p>
        </w:tc>
      </w:tr>
      <w:tr w:rsidR="00E77C63">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lang/>
              </w:rPr>
              <w:t>总计</w:t>
            </w:r>
          </w:p>
        </w:tc>
        <w:tc>
          <w:tcPr>
            <w:tcW w:w="4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28</w:t>
            </w:r>
          </w:p>
        </w:tc>
        <w:tc>
          <w:tcPr>
            <w:tcW w:w="9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17532.12</w:t>
            </w:r>
            <w:r>
              <w:rPr>
                <w:rFonts w:ascii="宋体" w:eastAsia="宋体" w:hAnsi="宋体" w:cs="宋体" w:hint="eastAsia"/>
                <w:color w:val="000000"/>
                <w:kern w:val="0"/>
                <w:sz w:val="18"/>
                <w:szCs w:val="18"/>
                <w:lang/>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lang/>
              </w:rPr>
              <w:t>总计</w:t>
            </w:r>
          </w:p>
        </w:tc>
        <w:tc>
          <w:tcPr>
            <w:tcW w:w="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56</w:t>
            </w:r>
          </w:p>
        </w:tc>
        <w:tc>
          <w:tcPr>
            <w:tcW w:w="9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rsidP="00203209">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17532.12</w:t>
            </w:r>
            <w:r>
              <w:rPr>
                <w:rFonts w:ascii="宋体" w:eastAsia="宋体" w:hAnsi="宋体" w:cs="宋体" w:hint="eastAsia"/>
                <w:color w:val="000000"/>
                <w:kern w:val="0"/>
                <w:sz w:val="18"/>
                <w:szCs w:val="18"/>
                <w:lang/>
              </w:rPr>
              <w:t xml:space="preserve">　</w:t>
            </w:r>
          </w:p>
        </w:tc>
      </w:tr>
      <w:tr w:rsidR="00E77C63">
        <w:trPr>
          <w:trHeight w:val="217"/>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rsidR="00E77C63" w:rsidRDefault="00720BDD" w:rsidP="00203209">
            <w:pPr>
              <w:widowControl/>
              <w:jc w:val="left"/>
              <w:textAlignment w:val="center"/>
              <w:rPr>
                <w:rFonts w:ascii="宋体" w:eastAsia="宋体" w:hAnsi="宋体" w:cs="宋体" w:hint="eastAsia"/>
                <w:color w:val="000000"/>
                <w:kern w:val="0"/>
                <w:sz w:val="18"/>
                <w:szCs w:val="18"/>
                <w:lang/>
              </w:rPr>
            </w:pPr>
            <w:r>
              <w:rPr>
                <w:rFonts w:ascii="宋体" w:eastAsia="宋体" w:hAnsi="宋体" w:cs="宋体" w:hint="eastAsia"/>
                <w:color w:val="000000"/>
                <w:kern w:val="0"/>
                <w:sz w:val="18"/>
                <w:szCs w:val="18"/>
                <w:lang/>
              </w:rPr>
              <w:t>注：本表反映部门本年度的总收支和年末结转结余情况。</w:t>
            </w:r>
          </w:p>
          <w:p w:rsidR="00203209" w:rsidRDefault="00203209" w:rsidP="00203209">
            <w:pPr>
              <w:widowControl/>
              <w:jc w:val="left"/>
              <w:textAlignment w:val="center"/>
              <w:rPr>
                <w:rFonts w:ascii="宋体" w:eastAsia="宋体" w:hAnsi="宋体" w:cs="宋体" w:hint="eastAsia"/>
                <w:color w:val="000000"/>
                <w:kern w:val="0"/>
                <w:sz w:val="18"/>
                <w:szCs w:val="18"/>
                <w:lang/>
              </w:rPr>
            </w:pPr>
          </w:p>
          <w:p w:rsidR="00203209" w:rsidRDefault="00203209" w:rsidP="00203209">
            <w:pPr>
              <w:widowControl/>
              <w:jc w:val="left"/>
              <w:textAlignment w:val="center"/>
              <w:rPr>
                <w:rFonts w:ascii="宋体" w:eastAsia="宋体" w:hAnsi="宋体" w:cs="宋体" w:hint="eastAsia"/>
                <w:color w:val="000000"/>
                <w:kern w:val="0"/>
                <w:sz w:val="18"/>
                <w:szCs w:val="18"/>
                <w:lang/>
              </w:rPr>
            </w:pPr>
          </w:p>
          <w:p w:rsidR="00203209" w:rsidRDefault="00203209" w:rsidP="00203209">
            <w:pPr>
              <w:widowControl/>
              <w:jc w:val="left"/>
              <w:textAlignment w:val="center"/>
              <w:rPr>
                <w:rFonts w:ascii="宋体" w:eastAsia="宋体" w:hAnsi="宋体" w:cs="宋体"/>
                <w:kern w:val="0"/>
                <w:sz w:val="18"/>
                <w:szCs w:val="18"/>
                <w:lang/>
              </w:rPr>
            </w:pPr>
          </w:p>
          <w:p w:rsidR="00E77C63" w:rsidRDefault="00E77C63" w:rsidP="00203209">
            <w:pPr>
              <w:widowControl/>
              <w:jc w:val="left"/>
              <w:textAlignment w:val="center"/>
              <w:rPr>
                <w:rFonts w:ascii="宋体" w:eastAsia="宋体" w:hAnsi="宋体" w:cs="宋体"/>
                <w:color w:val="000000"/>
                <w:kern w:val="0"/>
                <w:sz w:val="18"/>
                <w:szCs w:val="18"/>
                <w:lang/>
              </w:rPr>
            </w:pPr>
          </w:p>
        </w:tc>
      </w:tr>
    </w:tbl>
    <w:tbl>
      <w:tblPr>
        <w:tblW w:w="9580" w:type="dxa"/>
        <w:jc w:val="center"/>
        <w:tblLayout w:type="fixed"/>
        <w:tblCellMar>
          <w:left w:w="0" w:type="dxa"/>
          <w:right w:w="0" w:type="dxa"/>
        </w:tblCellMar>
        <w:tblLook w:val="04A0"/>
      </w:tblPr>
      <w:tblGrid>
        <w:gridCol w:w="1033"/>
        <w:gridCol w:w="59"/>
        <w:gridCol w:w="59"/>
        <w:gridCol w:w="1558"/>
        <w:gridCol w:w="938"/>
        <w:gridCol w:w="884"/>
        <w:gridCol w:w="1009"/>
        <w:gridCol w:w="1009"/>
        <w:gridCol w:w="1009"/>
        <w:gridCol w:w="1009"/>
        <w:gridCol w:w="1013"/>
      </w:tblGrid>
      <w:tr w:rsidR="00E77C63">
        <w:trPr>
          <w:trHeight w:val="670"/>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center"/>
              <w:textAlignment w:val="bottom"/>
              <w:rPr>
                <w:rFonts w:ascii="黑体" w:eastAsia="黑体" w:hAnsi="宋体" w:cs="黑体"/>
                <w:color w:val="000000"/>
                <w:sz w:val="28"/>
                <w:szCs w:val="28"/>
              </w:rPr>
            </w:pPr>
            <w:r>
              <w:rPr>
                <w:rFonts w:ascii="黑体" w:eastAsia="黑体" w:hAnsi="宋体" w:cs="黑体" w:hint="eastAsia"/>
                <w:color w:val="000000"/>
                <w:kern w:val="0"/>
                <w:sz w:val="28"/>
                <w:szCs w:val="28"/>
                <w:lang/>
              </w:rPr>
              <w:lastRenderedPageBreak/>
              <w:t>收入决算表</w:t>
            </w:r>
          </w:p>
        </w:tc>
      </w:tr>
      <w:tr w:rsidR="00E77C63">
        <w:trPr>
          <w:trHeight w:val="357"/>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1558"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938"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884"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2022" w:type="dxa"/>
            <w:gridSpan w:val="2"/>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rPr>
              <w:t>公开</w:t>
            </w:r>
            <w:r>
              <w:rPr>
                <w:rFonts w:ascii="宋体" w:eastAsia="宋体" w:hAnsi="宋体" w:cs="宋体" w:hint="eastAsia"/>
                <w:color w:val="000000"/>
                <w:kern w:val="0"/>
                <w:sz w:val="20"/>
                <w:szCs w:val="20"/>
                <w:lang/>
              </w:rPr>
              <w:t>02</w:t>
            </w:r>
            <w:r>
              <w:rPr>
                <w:rFonts w:ascii="宋体" w:eastAsia="宋体" w:hAnsi="宋体" w:cs="宋体" w:hint="eastAsia"/>
                <w:color w:val="000000"/>
                <w:kern w:val="0"/>
                <w:sz w:val="20"/>
                <w:szCs w:val="20"/>
                <w:lang/>
              </w:rPr>
              <w:t>表</w:t>
            </w:r>
          </w:p>
        </w:tc>
      </w:tr>
      <w:tr w:rsidR="00E77C63">
        <w:trPr>
          <w:trHeight w:val="357"/>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rPr>
              <w:t>部门：</w:t>
            </w:r>
          </w:p>
        </w:tc>
        <w:tc>
          <w:tcPr>
            <w:tcW w:w="5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1558" w:type="dxa"/>
            <w:tcBorders>
              <w:top w:val="nil"/>
              <w:left w:val="nil"/>
              <w:bottom w:val="nil"/>
              <w:right w:val="nil"/>
            </w:tcBorders>
            <w:shd w:val="clear" w:color="auto" w:fill="auto"/>
            <w:noWrap/>
            <w:tcMar>
              <w:top w:w="15" w:type="dxa"/>
              <w:left w:w="15" w:type="dxa"/>
              <w:right w:w="15" w:type="dxa"/>
            </w:tcMar>
            <w:vAlign w:val="bottom"/>
          </w:tcPr>
          <w:p w:rsidR="00E77C63" w:rsidRDefault="00720BDD">
            <w:pPr>
              <w:rPr>
                <w:rFonts w:ascii="Arial" w:hAnsi="Arial" w:cs="Arial"/>
                <w:color w:val="000000"/>
                <w:sz w:val="20"/>
                <w:szCs w:val="20"/>
              </w:rPr>
            </w:pPr>
            <w:r>
              <w:rPr>
                <w:rFonts w:ascii="Arial" w:hAnsi="Arial" w:cs="Arial" w:hint="eastAsia"/>
                <w:color w:val="000000"/>
                <w:sz w:val="18"/>
                <w:szCs w:val="18"/>
              </w:rPr>
              <w:t>张家口市第四医院</w:t>
            </w:r>
          </w:p>
        </w:tc>
        <w:tc>
          <w:tcPr>
            <w:tcW w:w="938"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884"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3031" w:type="dxa"/>
            <w:gridSpan w:val="3"/>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rPr>
              <w:t>金额单位：万元</w:t>
            </w:r>
          </w:p>
        </w:tc>
      </w:tr>
      <w:tr w:rsidR="00E77C63">
        <w:trPr>
          <w:trHeight w:val="385"/>
          <w:jc w:val="center"/>
        </w:trPr>
        <w:tc>
          <w:tcPr>
            <w:tcW w:w="270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项目</w:t>
            </w:r>
          </w:p>
        </w:tc>
        <w:tc>
          <w:tcPr>
            <w:tcW w:w="93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本年收入合计</w:t>
            </w:r>
          </w:p>
        </w:tc>
        <w:tc>
          <w:tcPr>
            <w:tcW w:w="884"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财政拨款收入</w:t>
            </w:r>
          </w:p>
        </w:tc>
        <w:tc>
          <w:tcPr>
            <w:tcW w:w="100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上级补助收入</w:t>
            </w:r>
          </w:p>
        </w:tc>
        <w:tc>
          <w:tcPr>
            <w:tcW w:w="100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事业收入</w:t>
            </w:r>
          </w:p>
        </w:tc>
        <w:tc>
          <w:tcPr>
            <w:tcW w:w="100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经营收入</w:t>
            </w:r>
          </w:p>
        </w:tc>
        <w:tc>
          <w:tcPr>
            <w:tcW w:w="100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附属单位上缴收入</w:t>
            </w:r>
          </w:p>
        </w:tc>
        <w:tc>
          <w:tcPr>
            <w:tcW w:w="1013"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其他收入</w:t>
            </w:r>
          </w:p>
        </w:tc>
      </w:tr>
      <w:tr w:rsidR="00E77C63">
        <w:trPr>
          <w:trHeight w:val="380"/>
          <w:jc w:val="center"/>
        </w:trPr>
        <w:tc>
          <w:tcPr>
            <w:tcW w:w="1151"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功能分类科目编码</w:t>
            </w:r>
          </w:p>
        </w:tc>
        <w:tc>
          <w:tcPr>
            <w:tcW w:w="1558"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科目名称</w:t>
            </w:r>
          </w:p>
        </w:tc>
        <w:tc>
          <w:tcPr>
            <w:tcW w:w="9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1"/>
              </w:rPr>
            </w:pPr>
          </w:p>
        </w:tc>
        <w:tc>
          <w:tcPr>
            <w:tcW w:w="88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1"/>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1"/>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1"/>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1"/>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1"/>
              </w:rPr>
            </w:pPr>
          </w:p>
        </w:tc>
        <w:tc>
          <w:tcPr>
            <w:tcW w:w="1013"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1"/>
              </w:rPr>
            </w:pPr>
          </w:p>
        </w:tc>
      </w:tr>
      <w:tr w:rsidR="00E77C63">
        <w:trPr>
          <w:trHeight w:val="380"/>
          <w:jc w:val="center"/>
        </w:trPr>
        <w:tc>
          <w:tcPr>
            <w:tcW w:w="1151"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558"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9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88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13"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r>
      <w:tr w:rsidR="00E77C63">
        <w:trPr>
          <w:trHeight w:val="380"/>
          <w:jc w:val="center"/>
        </w:trPr>
        <w:tc>
          <w:tcPr>
            <w:tcW w:w="1151"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558"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9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88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c>
          <w:tcPr>
            <w:tcW w:w="1013"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22"/>
              </w:rPr>
            </w:pPr>
          </w:p>
        </w:tc>
      </w:tr>
      <w:tr w:rsidR="00E77C63">
        <w:trPr>
          <w:trHeight w:val="385"/>
          <w:jc w:val="center"/>
        </w:trPr>
        <w:tc>
          <w:tcPr>
            <w:tcW w:w="270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栏次</w:t>
            </w:r>
          </w:p>
        </w:tc>
        <w:tc>
          <w:tcPr>
            <w:tcW w:w="93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8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10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10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10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r>
      <w:tr w:rsidR="00E77C63">
        <w:trPr>
          <w:trHeight w:val="385"/>
          <w:jc w:val="center"/>
        </w:trPr>
        <w:tc>
          <w:tcPr>
            <w:tcW w:w="270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合计</w:t>
            </w:r>
          </w:p>
        </w:tc>
        <w:tc>
          <w:tcPr>
            <w:tcW w:w="938"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720BDD">
            <w:pPr>
              <w:jc w:val="right"/>
              <w:rPr>
                <w:rFonts w:ascii="宋体" w:eastAsia="宋体" w:hAnsi="宋体" w:cs="宋体"/>
                <w:bCs/>
                <w:color w:val="000000"/>
                <w:sz w:val="22"/>
              </w:rPr>
            </w:pPr>
            <w:r>
              <w:rPr>
                <w:rFonts w:ascii="宋体" w:eastAsia="宋体" w:hAnsi="宋体" w:cs="宋体" w:hint="eastAsia"/>
                <w:bCs/>
                <w:color w:val="000000"/>
                <w:sz w:val="22"/>
              </w:rPr>
              <w:t>17026.80</w:t>
            </w:r>
          </w:p>
        </w:tc>
        <w:tc>
          <w:tcPr>
            <w:tcW w:w="88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720BDD">
            <w:pPr>
              <w:jc w:val="right"/>
              <w:rPr>
                <w:rFonts w:ascii="宋体" w:eastAsia="宋体" w:hAnsi="宋体" w:cs="宋体"/>
                <w:bCs/>
                <w:color w:val="000000"/>
                <w:sz w:val="22"/>
              </w:rPr>
            </w:pPr>
            <w:r>
              <w:rPr>
                <w:rFonts w:ascii="宋体" w:eastAsia="宋体" w:hAnsi="宋体" w:cs="宋体" w:hint="eastAsia"/>
                <w:bCs/>
                <w:color w:val="000000"/>
                <w:sz w:val="22"/>
              </w:rPr>
              <w:t>1276.21</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E77C63">
            <w:pPr>
              <w:jc w:val="right"/>
              <w:rPr>
                <w:rFonts w:ascii="宋体" w:eastAsia="宋体" w:hAnsi="宋体" w:cs="宋体"/>
                <w:bCs/>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720BDD">
            <w:pPr>
              <w:jc w:val="right"/>
              <w:rPr>
                <w:rFonts w:ascii="宋体" w:eastAsia="宋体" w:hAnsi="宋体" w:cs="宋体"/>
                <w:bCs/>
                <w:color w:val="000000"/>
                <w:sz w:val="22"/>
              </w:rPr>
            </w:pPr>
            <w:r>
              <w:rPr>
                <w:rFonts w:ascii="宋体" w:eastAsia="宋体" w:hAnsi="宋体" w:cs="宋体" w:hint="eastAsia"/>
                <w:bCs/>
                <w:color w:val="000000"/>
                <w:sz w:val="22"/>
              </w:rPr>
              <w:t>15396.23</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E77C63">
            <w:pPr>
              <w:jc w:val="right"/>
              <w:rPr>
                <w:rFonts w:ascii="宋体" w:eastAsia="宋体" w:hAnsi="宋体" w:cs="宋体"/>
                <w:bCs/>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E77C63">
            <w:pPr>
              <w:jc w:val="right"/>
              <w:rPr>
                <w:rFonts w:ascii="宋体" w:eastAsia="宋体" w:hAnsi="宋体" w:cs="宋体"/>
                <w:bCs/>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720BDD">
            <w:pPr>
              <w:jc w:val="right"/>
              <w:rPr>
                <w:rFonts w:ascii="宋体" w:eastAsia="宋体" w:hAnsi="宋体" w:cs="宋体"/>
                <w:bCs/>
                <w:color w:val="000000"/>
                <w:sz w:val="22"/>
              </w:rPr>
            </w:pPr>
            <w:r>
              <w:rPr>
                <w:rFonts w:ascii="宋体" w:eastAsia="宋体" w:hAnsi="宋体" w:cs="宋体" w:hint="eastAsia"/>
                <w:bCs/>
                <w:color w:val="000000"/>
                <w:sz w:val="22"/>
              </w:rPr>
              <w:t>354.36</w:t>
            </w:r>
          </w:p>
        </w:tc>
      </w:tr>
      <w:tr w:rsidR="00E77C63">
        <w:trPr>
          <w:trHeight w:val="385"/>
          <w:jc w:val="center"/>
        </w:trPr>
        <w:tc>
          <w:tcPr>
            <w:tcW w:w="1151"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2013299</w:t>
            </w:r>
          </w:p>
        </w:tc>
        <w:tc>
          <w:tcPr>
            <w:tcW w:w="155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其他组织事务支出</w:t>
            </w:r>
          </w:p>
        </w:tc>
        <w:tc>
          <w:tcPr>
            <w:tcW w:w="9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2.57</w:t>
            </w:r>
          </w:p>
        </w:tc>
        <w:tc>
          <w:tcPr>
            <w:tcW w:w="8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2.57</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r w:rsidR="00E77C63">
        <w:trPr>
          <w:trHeight w:val="385"/>
          <w:jc w:val="center"/>
        </w:trPr>
        <w:tc>
          <w:tcPr>
            <w:tcW w:w="1151"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2080502</w:t>
            </w:r>
          </w:p>
        </w:tc>
        <w:tc>
          <w:tcPr>
            <w:tcW w:w="155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事业单位离退休</w:t>
            </w:r>
          </w:p>
        </w:tc>
        <w:tc>
          <w:tcPr>
            <w:tcW w:w="9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1.92</w:t>
            </w:r>
          </w:p>
        </w:tc>
        <w:tc>
          <w:tcPr>
            <w:tcW w:w="8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1.92</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r w:rsidR="00E77C63">
        <w:trPr>
          <w:trHeight w:val="385"/>
          <w:jc w:val="center"/>
        </w:trPr>
        <w:tc>
          <w:tcPr>
            <w:tcW w:w="1151"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2100208</w:t>
            </w:r>
          </w:p>
        </w:tc>
        <w:tc>
          <w:tcPr>
            <w:tcW w:w="155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其他专科医院</w:t>
            </w:r>
          </w:p>
        </w:tc>
        <w:tc>
          <w:tcPr>
            <w:tcW w:w="9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16859.51</w:t>
            </w:r>
          </w:p>
        </w:tc>
        <w:tc>
          <w:tcPr>
            <w:tcW w:w="8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1108.92</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15396.23</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354.36</w:t>
            </w:r>
          </w:p>
        </w:tc>
      </w:tr>
      <w:tr w:rsidR="00E77C63">
        <w:trPr>
          <w:trHeight w:val="385"/>
          <w:jc w:val="center"/>
        </w:trPr>
        <w:tc>
          <w:tcPr>
            <w:tcW w:w="1151"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2100299</w:t>
            </w:r>
          </w:p>
        </w:tc>
        <w:tc>
          <w:tcPr>
            <w:tcW w:w="155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其他公立医院支出</w:t>
            </w:r>
          </w:p>
        </w:tc>
        <w:tc>
          <w:tcPr>
            <w:tcW w:w="9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160.8</w:t>
            </w:r>
          </w:p>
        </w:tc>
        <w:tc>
          <w:tcPr>
            <w:tcW w:w="8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160.8</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r w:rsidR="00E77C63">
        <w:trPr>
          <w:trHeight w:val="385"/>
          <w:jc w:val="center"/>
        </w:trPr>
        <w:tc>
          <w:tcPr>
            <w:tcW w:w="1151"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2100410</w:t>
            </w:r>
          </w:p>
        </w:tc>
        <w:tc>
          <w:tcPr>
            <w:tcW w:w="155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22"/>
              </w:rPr>
            </w:pPr>
            <w:r>
              <w:rPr>
                <w:rFonts w:ascii="宋体" w:eastAsia="宋体" w:hAnsi="宋体" w:cs="宋体" w:hint="eastAsia"/>
                <w:color w:val="000000"/>
                <w:sz w:val="22"/>
              </w:rPr>
              <w:t>突发公共卫生事件应急处理</w:t>
            </w:r>
          </w:p>
        </w:tc>
        <w:tc>
          <w:tcPr>
            <w:tcW w:w="9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2</w:t>
            </w:r>
          </w:p>
        </w:tc>
        <w:tc>
          <w:tcPr>
            <w:tcW w:w="8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22"/>
              </w:rPr>
            </w:pPr>
            <w:r>
              <w:rPr>
                <w:rFonts w:ascii="宋体" w:eastAsia="宋体" w:hAnsi="宋体" w:cs="宋体" w:hint="eastAsia"/>
                <w:color w:val="000000"/>
                <w:sz w:val="22"/>
              </w:rPr>
              <w:t>2</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r w:rsidR="00E77C63">
        <w:trPr>
          <w:trHeight w:val="385"/>
          <w:jc w:val="center"/>
        </w:trPr>
        <w:tc>
          <w:tcPr>
            <w:tcW w:w="1151"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155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9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8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r w:rsidR="00E77C63">
        <w:trPr>
          <w:trHeight w:val="385"/>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center"/>
          </w:tcPr>
          <w:p w:rsidR="00E77C63" w:rsidRDefault="00720BDD">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注：本表反映部门本年度取得的各项收入情况。</w:t>
            </w:r>
          </w:p>
        </w:tc>
      </w:tr>
    </w:tbl>
    <w:p w:rsidR="00E77C63" w:rsidRDefault="00E77C63">
      <w:pPr>
        <w:jc w:val="left"/>
      </w:pPr>
    </w:p>
    <w:p w:rsidR="00E77C63" w:rsidRDefault="00720BDD">
      <w:r>
        <w:br w:type="page"/>
      </w:r>
    </w:p>
    <w:tbl>
      <w:tblPr>
        <w:tblW w:w="9680" w:type="dxa"/>
        <w:jc w:val="center"/>
        <w:tblLayout w:type="fixed"/>
        <w:tblCellMar>
          <w:left w:w="0" w:type="dxa"/>
          <w:right w:w="0" w:type="dxa"/>
        </w:tblCellMar>
        <w:tblLook w:val="04A0"/>
      </w:tblPr>
      <w:tblGrid>
        <w:gridCol w:w="941"/>
        <w:gridCol w:w="53"/>
        <w:gridCol w:w="111"/>
        <w:gridCol w:w="1717"/>
        <w:gridCol w:w="803"/>
        <w:gridCol w:w="1161"/>
        <w:gridCol w:w="1161"/>
        <w:gridCol w:w="1161"/>
        <w:gridCol w:w="1161"/>
        <w:gridCol w:w="1411"/>
      </w:tblGrid>
      <w:tr w:rsidR="00E77C63">
        <w:trPr>
          <w:trHeight w:val="612"/>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rPr>
              <w:lastRenderedPageBreak/>
              <w:t>支出决算表</w:t>
            </w:r>
          </w:p>
        </w:tc>
      </w:tr>
      <w:tr w:rsidR="00E77C63">
        <w:trPr>
          <w:trHeight w:val="313"/>
          <w:jc w:val="center"/>
        </w:trPr>
        <w:tc>
          <w:tcPr>
            <w:tcW w:w="94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71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803"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公开</w:t>
            </w:r>
            <w:r>
              <w:rPr>
                <w:rFonts w:ascii="宋体" w:eastAsia="宋体" w:hAnsi="宋体" w:cs="宋体" w:hint="eastAsia"/>
                <w:color w:val="000000"/>
                <w:kern w:val="0"/>
                <w:sz w:val="18"/>
                <w:szCs w:val="18"/>
                <w:lang/>
              </w:rPr>
              <w:t>03</w:t>
            </w:r>
            <w:r>
              <w:rPr>
                <w:rFonts w:ascii="宋体" w:eastAsia="宋体" w:hAnsi="宋体" w:cs="宋体" w:hint="eastAsia"/>
                <w:color w:val="000000"/>
                <w:kern w:val="0"/>
                <w:sz w:val="18"/>
                <w:szCs w:val="18"/>
                <w:lang/>
              </w:rPr>
              <w:t>表</w:t>
            </w:r>
          </w:p>
        </w:tc>
      </w:tr>
      <w:tr w:rsidR="00E77C63">
        <w:trPr>
          <w:trHeight w:val="313"/>
          <w:jc w:val="center"/>
        </w:trPr>
        <w:tc>
          <w:tcPr>
            <w:tcW w:w="941"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717" w:type="dxa"/>
            <w:tcBorders>
              <w:top w:val="nil"/>
              <w:left w:val="nil"/>
              <w:bottom w:val="nil"/>
              <w:right w:val="nil"/>
            </w:tcBorders>
            <w:shd w:val="clear" w:color="auto" w:fill="auto"/>
            <w:noWrap/>
            <w:tcMar>
              <w:top w:w="15" w:type="dxa"/>
              <w:left w:w="15" w:type="dxa"/>
              <w:right w:w="15" w:type="dxa"/>
            </w:tcMar>
            <w:vAlign w:val="bottom"/>
          </w:tcPr>
          <w:p w:rsidR="00E77C63" w:rsidRDefault="00720BDD">
            <w:pPr>
              <w:rPr>
                <w:rFonts w:ascii="Arial" w:hAnsi="Arial" w:cs="Arial"/>
                <w:color w:val="000000"/>
                <w:sz w:val="18"/>
                <w:szCs w:val="18"/>
              </w:rPr>
            </w:pPr>
            <w:r>
              <w:rPr>
                <w:rFonts w:ascii="Arial" w:hAnsi="Arial" w:cs="Arial" w:hint="eastAsia"/>
                <w:color w:val="000000"/>
                <w:sz w:val="18"/>
                <w:szCs w:val="18"/>
              </w:rPr>
              <w:t>张家口市第四医院</w:t>
            </w:r>
          </w:p>
        </w:tc>
        <w:tc>
          <w:tcPr>
            <w:tcW w:w="803"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金额单位：万元</w:t>
            </w:r>
          </w:p>
        </w:tc>
      </w:tr>
      <w:tr w:rsidR="00E77C63">
        <w:trPr>
          <w:trHeight w:val="323"/>
          <w:jc w:val="center"/>
        </w:trPr>
        <w:tc>
          <w:tcPr>
            <w:tcW w:w="28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项目</w:t>
            </w:r>
          </w:p>
        </w:tc>
        <w:tc>
          <w:tcPr>
            <w:tcW w:w="803"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本年支出合计</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基本支出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项目支出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上缴上级支出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经营支出</w:t>
            </w:r>
          </w:p>
        </w:tc>
        <w:tc>
          <w:tcPr>
            <w:tcW w:w="141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对附属单位补助支出</w:t>
            </w:r>
          </w:p>
        </w:tc>
      </w:tr>
      <w:tr w:rsidR="00E77C63">
        <w:trPr>
          <w:trHeight w:val="319"/>
          <w:jc w:val="center"/>
        </w:trPr>
        <w:tc>
          <w:tcPr>
            <w:tcW w:w="1105"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功能分类科目编码</w:t>
            </w:r>
          </w:p>
        </w:tc>
        <w:tc>
          <w:tcPr>
            <w:tcW w:w="1717"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科目名称</w:t>
            </w:r>
          </w:p>
        </w:tc>
        <w:tc>
          <w:tcPr>
            <w:tcW w:w="803"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0"/>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 w:val="20"/>
                <w:szCs w:val="20"/>
              </w:rPr>
            </w:pPr>
          </w:p>
        </w:tc>
      </w:tr>
      <w:tr w:rsidR="00E77C63">
        <w:trPr>
          <w:trHeight w:val="319"/>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717"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803"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r>
      <w:tr w:rsidR="00E77C63">
        <w:trPr>
          <w:trHeight w:val="312"/>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717"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803"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r>
      <w:tr w:rsidR="00E77C63">
        <w:trPr>
          <w:trHeight w:val="323"/>
          <w:jc w:val="center"/>
        </w:trPr>
        <w:tc>
          <w:tcPr>
            <w:tcW w:w="282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栏次</w:t>
            </w:r>
          </w:p>
        </w:tc>
        <w:tc>
          <w:tcPr>
            <w:tcW w:w="8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4</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5</w:t>
            </w:r>
          </w:p>
        </w:tc>
        <w:tc>
          <w:tcPr>
            <w:tcW w:w="141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6</w:t>
            </w:r>
          </w:p>
        </w:tc>
      </w:tr>
      <w:tr w:rsidR="00E77C63">
        <w:trPr>
          <w:trHeight w:val="323"/>
          <w:jc w:val="center"/>
        </w:trPr>
        <w:tc>
          <w:tcPr>
            <w:tcW w:w="282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合计</w:t>
            </w:r>
          </w:p>
        </w:tc>
        <w:tc>
          <w:tcPr>
            <w:tcW w:w="803"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720BDD">
            <w:pPr>
              <w:jc w:val="right"/>
              <w:rPr>
                <w:rFonts w:ascii="宋体" w:eastAsia="宋体" w:hAnsi="宋体" w:cs="宋体"/>
                <w:bCs/>
                <w:color w:val="000000"/>
                <w:sz w:val="18"/>
                <w:szCs w:val="18"/>
              </w:rPr>
            </w:pPr>
            <w:r>
              <w:rPr>
                <w:rFonts w:ascii="宋体" w:eastAsia="宋体" w:hAnsi="宋体" w:cs="宋体" w:hint="eastAsia"/>
                <w:bCs/>
                <w:color w:val="000000"/>
                <w:sz w:val="18"/>
                <w:szCs w:val="18"/>
              </w:rPr>
              <w:t>17390.82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720BDD">
            <w:pPr>
              <w:jc w:val="right"/>
              <w:rPr>
                <w:rFonts w:ascii="宋体" w:eastAsia="宋体" w:hAnsi="宋体" w:cs="宋体"/>
                <w:bCs/>
                <w:color w:val="000000"/>
                <w:sz w:val="18"/>
                <w:szCs w:val="18"/>
              </w:rPr>
            </w:pPr>
            <w:r>
              <w:rPr>
                <w:rFonts w:ascii="宋体" w:eastAsia="宋体" w:hAnsi="宋体" w:cs="宋体" w:hint="eastAsia"/>
                <w:bCs/>
                <w:color w:val="000000"/>
                <w:sz w:val="18"/>
                <w:szCs w:val="18"/>
              </w:rPr>
              <w:t>15884.78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720BDD">
            <w:pPr>
              <w:jc w:val="right"/>
              <w:rPr>
                <w:rFonts w:ascii="宋体" w:eastAsia="宋体" w:hAnsi="宋体" w:cs="宋体"/>
                <w:bCs/>
                <w:color w:val="000000"/>
                <w:sz w:val="18"/>
                <w:szCs w:val="18"/>
              </w:rPr>
            </w:pPr>
            <w:r>
              <w:rPr>
                <w:rFonts w:ascii="宋体" w:eastAsia="宋体" w:hAnsi="宋体" w:cs="宋体" w:hint="eastAsia"/>
                <w:bCs/>
                <w:color w:val="000000"/>
                <w:sz w:val="18"/>
                <w:szCs w:val="18"/>
              </w:rPr>
              <w:t>1506.04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E77C63">
            <w:pPr>
              <w:rPr>
                <w:rFonts w:ascii="宋体" w:eastAsia="宋体" w:hAnsi="宋体" w:cs="宋体"/>
                <w:bCs/>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E77C63">
            <w:pPr>
              <w:rPr>
                <w:rFonts w:ascii="宋体" w:eastAsia="宋体" w:hAnsi="宋体" w:cs="宋体"/>
                <w:bCs/>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77C63" w:rsidRDefault="00E77C63">
            <w:pPr>
              <w:rPr>
                <w:rFonts w:ascii="宋体" w:eastAsia="宋体" w:hAnsi="宋体" w:cs="宋体"/>
                <w:bCs/>
                <w:color w:val="000000"/>
                <w:sz w:val="18"/>
                <w:szCs w:val="18"/>
              </w:rPr>
            </w:pPr>
          </w:p>
        </w:tc>
      </w:tr>
      <w:tr w:rsidR="00E77C63">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2080502</w:t>
            </w:r>
          </w:p>
        </w:tc>
        <w:tc>
          <w:tcPr>
            <w:tcW w:w="17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事业单位离退休</w:t>
            </w:r>
          </w:p>
        </w:tc>
        <w:tc>
          <w:tcPr>
            <w:tcW w:w="8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1.92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1.92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r>
      <w:tr w:rsidR="00E77C63">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2100199</w:t>
            </w:r>
          </w:p>
        </w:tc>
        <w:tc>
          <w:tcPr>
            <w:tcW w:w="17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其他卫生健康管理事务支出</w:t>
            </w:r>
          </w:p>
        </w:tc>
        <w:tc>
          <w:tcPr>
            <w:tcW w:w="8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0.1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0.1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r>
      <w:tr w:rsidR="00E77C63">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2100201</w:t>
            </w:r>
          </w:p>
        </w:tc>
        <w:tc>
          <w:tcPr>
            <w:tcW w:w="17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综合医院</w:t>
            </w:r>
          </w:p>
        </w:tc>
        <w:tc>
          <w:tcPr>
            <w:tcW w:w="8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49.46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49.46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r>
      <w:tr w:rsidR="00E77C63">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2100208</w:t>
            </w:r>
          </w:p>
        </w:tc>
        <w:tc>
          <w:tcPr>
            <w:tcW w:w="17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其他专科医院</w:t>
            </w:r>
          </w:p>
        </w:tc>
        <w:tc>
          <w:tcPr>
            <w:tcW w:w="8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17169.34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15882.86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1286.48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r>
      <w:tr w:rsidR="00E77C63">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2100299</w:t>
            </w:r>
          </w:p>
        </w:tc>
        <w:tc>
          <w:tcPr>
            <w:tcW w:w="17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其他公立医院支出</w:t>
            </w:r>
          </w:p>
        </w:tc>
        <w:tc>
          <w:tcPr>
            <w:tcW w:w="8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168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168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r>
      <w:tr w:rsidR="00E77C63">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2100410</w:t>
            </w:r>
          </w:p>
        </w:tc>
        <w:tc>
          <w:tcPr>
            <w:tcW w:w="17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22"/>
              </w:rPr>
              <w:t>突发公共卫生事件应急处理</w:t>
            </w:r>
          </w:p>
        </w:tc>
        <w:tc>
          <w:tcPr>
            <w:tcW w:w="8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r>
      <w:tr w:rsidR="00E77C63">
        <w:trPr>
          <w:trHeight w:val="323"/>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rsidR="00E77C63" w:rsidRDefault="00720BD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注：本表反映部门本年度各项支出情况。</w:t>
            </w:r>
          </w:p>
        </w:tc>
      </w:tr>
    </w:tbl>
    <w:p w:rsidR="00E77C63" w:rsidRDefault="00720BDD">
      <w:r>
        <w:br w:type="page"/>
      </w:r>
    </w:p>
    <w:tbl>
      <w:tblPr>
        <w:tblW w:w="9990" w:type="dxa"/>
        <w:jc w:val="center"/>
        <w:tblLayout w:type="fixed"/>
        <w:tblCellMar>
          <w:left w:w="0" w:type="dxa"/>
          <w:right w:w="0" w:type="dxa"/>
        </w:tblCellMar>
        <w:tblLook w:val="04A0"/>
      </w:tblPr>
      <w:tblGrid>
        <w:gridCol w:w="1174"/>
        <w:gridCol w:w="67"/>
        <w:gridCol w:w="67"/>
        <w:gridCol w:w="1695"/>
        <w:gridCol w:w="2329"/>
        <w:gridCol w:w="2329"/>
        <w:gridCol w:w="1859"/>
        <w:gridCol w:w="470"/>
      </w:tblGrid>
      <w:tr w:rsidR="00E77C63">
        <w:trPr>
          <w:gridAfter w:val="1"/>
          <w:wAfter w:w="470" w:type="dxa"/>
          <w:trHeight w:val="406"/>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rsidR="00E77C63" w:rsidRDefault="00720BDD">
            <w:pPr>
              <w:spacing w:line="320" w:lineRule="exact"/>
              <w:jc w:val="center"/>
              <w:rPr>
                <w:rFonts w:ascii="黑体" w:eastAsia="黑体" w:hAnsi="宋体" w:cs="黑体"/>
                <w:color w:val="000000"/>
                <w:sz w:val="32"/>
                <w:szCs w:val="32"/>
              </w:rPr>
            </w:pPr>
            <w:r>
              <w:rPr>
                <w:rFonts w:ascii="黑体" w:eastAsia="黑体" w:hAnsi="宋体" w:cs="黑体" w:hint="eastAsia"/>
                <w:color w:val="000000"/>
                <w:kern w:val="0"/>
                <w:sz w:val="32"/>
                <w:szCs w:val="32"/>
                <w:lang/>
              </w:rPr>
              <w:lastRenderedPageBreak/>
              <w:t>财政拨款收入支出决算总表</w:t>
            </w:r>
          </w:p>
        </w:tc>
      </w:tr>
      <w:tr w:rsidR="00E77C63">
        <w:trPr>
          <w:trHeight w:val="600"/>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W w:w="9736" w:type="dxa"/>
              <w:tblLayout w:type="fixed"/>
              <w:tblLook w:val="04A0"/>
            </w:tblPr>
            <w:tblGrid>
              <w:gridCol w:w="2123"/>
              <w:gridCol w:w="450"/>
              <w:gridCol w:w="957"/>
              <w:gridCol w:w="2163"/>
              <w:gridCol w:w="420"/>
              <w:gridCol w:w="817"/>
              <w:gridCol w:w="851"/>
              <w:gridCol w:w="850"/>
              <w:gridCol w:w="853"/>
              <w:gridCol w:w="252"/>
            </w:tblGrid>
            <w:tr w:rsidR="00E77C63">
              <w:trPr>
                <w:gridAfter w:val="1"/>
                <w:wAfter w:w="252" w:type="dxa"/>
                <w:trHeight w:val="90"/>
              </w:trPr>
              <w:tc>
                <w:tcPr>
                  <w:tcW w:w="2123" w:type="dxa"/>
                  <w:tcBorders>
                    <w:top w:val="nil"/>
                    <w:left w:val="nil"/>
                    <w:bottom w:val="nil"/>
                    <w:right w:val="nil"/>
                  </w:tcBorders>
                  <w:shd w:val="clear" w:color="auto" w:fill="auto"/>
                  <w:vAlign w:val="bottom"/>
                </w:tcPr>
                <w:p w:rsidR="00E77C63" w:rsidRDefault="00E77C63">
                  <w:pPr>
                    <w:widowControl/>
                    <w:spacing w:line="240" w:lineRule="exact"/>
                    <w:jc w:val="left"/>
                    <w:rPr>
                      <w:rFonts w:ascii="宋体" w:eastAsia="宋体" w:hAnsi="宋体" w:cs="宋体"/>
                      <w:kern w:val="0"/>
                      <w:sz w:val="15"/>
                      <w:szCs w:val="15"/>
                    </w:rPr>
                  </w:pPr>
                </w:p>
              </w:tc>
              <w:tc>
                <w:tcPr>
                  <w:tcW w:w="450"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957"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2163"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420"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817"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2554" w:type="dxa"/>
                  <w:gridSpan w:val="3"/>
                  <w:tcBorders>
                    <w:top w:val="nil"/>
                    <w:left w:val="nil"/>
                    <w:bottom w:val="nil"/>
                    <w:right w:val="nil"/>
                  </w:tcBorders>
                  <w:shd w:val="clear" w:color="auto" w:fill="auto"/>
                  <w:vAlign w:val="bottom"/>
                </w:tcPr>
                <w:p w:rsidR="00E77C63" w:rsidRDefault="00720BDD">
                  <w:pPr>
                    <w:widowControl/>
                    <w:spacing w:line="240" w:lineRule="exact"/>
                    <w:ind w:right="300"/>
                    <w:jc w:val="right"/>
                    <w:rPr>
                      <w:rFonts w:ascii="宋体" w:eastAsia="宋体" w:hAnsi="宋体" w:cs="Arial"/>
                      <w:color w:val="000000"/>
                      <w:kern w:val="0"/>
                      <w:sz w:val="15"/>
                      <w:szCs w:val="15"/>
                    </w:rPr>
                  </w:pPr>
                  <w:r>
                    <w:rPr>
                      <w:rFonts w:ascii="宋体" w:eastAsia="宋体" w:hAnsi="宋体" w:cs="Arial" w:hint="eastAsia"/>
                      <w:color w:val="000000"/>
                      <w:kern w:val="0"/>
                      <w:sz w:val="15"/>
                      <w:szCs w:val="15"/>
                    </w:rPr>
                    <w:t>公开</w:t>
                  </w:r>
                  <w:r>
                    <w:rPr>
                      <w:rFonts w:ascii="宋体" w:eastAsia="宋体" w:hAnsi="宋体" w:cs="Arial" w:hint="eastAsia"/>
                      <w:color w:val="000000"/>
                      <w:kern w:val="0"/>
                      <w:sz w:val="15"/>
                      <w:szCs w:val="15"/>
                    </w:rPr>
                    <w:t>04</w:t>
                  </w:r>
                  <w:r>
                    <w:rPr>
                      <w:rFonts w:ascii="宋体" w:eastAsia="宋体" w:hAnsi="宋体" w:cs="Arial" w:hint="eastAsia"/>
                      <w:color w:val="000000"/>
                      <w:kern w:val="0"/>
                      <w:sz w:val="15"/>
                      <w:szCs w:val="15"/>
                    </w:rPr>
                    <w:t>表</w:t>
                  </w:r>
                </w:p>
              </w:tc>
            </w:tr>
            <w:tr w:rsidR="00E77C63">
              <w:trPr>
                <w:gridAfter w:val="1"/>
                <w:wAfter w:w="252" w:type="dxa"/>
                <w:trHeight w:val="300"/>
              </w:trPr>
              <w:tc>
                <w:tcPr>
                  <w:tcW w:w="2123" w:type="dxa"/>
                  <w:tcBorders>
                    <w:top w:val="nil"/>
                    <w:left w:val="nil"/>
                    <w:bottom w:val="nil"/>
                    <w:right w:val="nil"/>
                  </w:tcBorders>
                  <w:shd w:val="clear" w:color="auto" w:fill="auto"/>
                  <w:vAlign w:val="bottom"/>
                </w:tcPr>
                <w:p w:rsidR="00E77C63" w:rsidRDefault="00720BDD">
                  <w:pPr>
                    <w:widowControl/>
                    <w:spacing w:line="24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部门：</w:t>
                  </w:r>
                  <w:r>
                    <w:rPr>
                      <w:rFonts w:ascii="Arial" w:hAnsi="Arial" w:cs="Arial" w:hint="eastAsia"/>
                      <w:color w:val="000000"/>
                      <w:sz w:val="18"/>
                      <w:szCs w:val="18"/>
                    </w:rPr>
                    <w:t>张家口市第四医院</w:t>
                  </w:r>
                </w:p>
              </w:tc>
              <w:tc>
                <w:tcPr>
                  <w:tcW w:w="450" w:type="dxa"/>
                  <w:tcBorders>
                    <w:top w:val="nil"/>
                    <w:left w:val="nil"/>
                    <w:bottom w:val="nil"/>
                    <w:right w:val="nil"/>
                  </w:tcBorders>
                  <w:shd w:val="clear" w:color="auto" w:fill="auto"/>
                  <w:vAlign w:val="bottom"/>
                </w:tcPr>
                <w:p w:rsidR="00E77C63" w:rsidRDefault="00E77C63">
                  <w:pPr>
                    <w:widowControl/>
                    <w:spacing w:line="240" w:lineRule="exact"/>
                    <w:jc w:val="left"/>
                    <w:rPr>
                      <w:rFonts w:ascii="宋体" w:eastAsia="宋体" w:hAnsi="宋体" w:cs="Arial"/>
                      <w:color w:val="000000"/>
                      <w:kern w:val="0"/>
                      <w:sz w:val="15"/>
                      <w:szCs w:val="15"/>
                    </w:rPr>
                  </w:pPr>
                </w:p>
              </w:tc>
              <w:tc>
                <w:tcPr>
                  <w:tcW w:w="957"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2163"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420"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817"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851" w:type="dxa"/>
                  <w:tcBorders>
                    <w:top w:val="nil"/>
                    <w:left w:val="nil"/>
                    <w:bottom w:val="nil"/>
                    <w:right w:val="nil"/>
                  </w:tcBorders>
                  <w:shd w:val="clear" w:color="auto" w:fill="auto"/>
                  <w:vAlign w:val="bottom"/>
                </w:tcPr>
                <w:p w:rsidR="00E77C63" w:rsidRDefault="00E77C63">
                  <w:pPr>
                    <w:widowControl/>
                    <w:spacing w:line="240" w:lineRule="exact"/>
                    <w:jc w:val="left"/>
                    <w:rPr>
                      <w:rFonts w:ascii="Times New Roman" w:eastAsia="Times New Roman" w:hAnsi="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rsidR="00E77C63" w:rsidRDefault="00720BDD">
                  <w:pPr>
                    <w:widowControl/>
                    <w:spacing w:line="24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金额单位：万元</w:t>
                  </w:r>
                </w:p>
              </w:tc>
            </w:tr>
            <w:tr w:rsidR="00E77C63">
              <w:trPr>
                <w:gridAfter w:val="1"/>
                <w:wAfter w:w="252" w:type="dxa"/>
                <w:trHeight w:val="90"/>
              </w:trPr>
              <w:tc>
                <w:tcPr>
                  <w:tcW w:w="35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77C63" w:rsidRDefault="00720BDD">
                  <w:pPr>
                    <w:widowControl/>
                    <w:jc w:val="center"/>
                    <w:rPr>
                      <w:rFonts w:ascii="黑体" w:eastAsia="黑体" w:hAnsi="黑体" w:cs="Arial"/>
                      <w:color w:val="000000"/>
                      <w:kern w:val="0"/>
                      <w:sz w:val="20"/>
                      <w:szCs w:val="20"/>
                    </w:rPr>
                  </w:pPr>
                  <w:r>
                    <w:rPr>
                      <w:rFonts w:ascii="黑体" w:eastAsia="黑体" w:hAnsi="黑体" w:cs="Arial" w:hint="eastAsia"/>
                      <w:color w:val="000000"/>
                      <w:kern w:val="0"/>
                      <w:sz w:val="20"/>
                      <w:szCs w:val="20"/>
                    </w:rPr>
                    <w:t>收</w:t>
                  </w:r>
                  <w:r>
                    <w:rPr>
                      <w:rFonts w:ascii="黑体" w:eastAsia="黑体" w:hAnsi="黑体" w:cs="Arial" w:hint="eastAsia"/>
                      <w:color w:val="000000"/>
                      <w:kern w:val="0"/>
                      <w:sz w:val="20"/>
                      <w:szCs w:val="20"/>
                    </w:rPr>
                    <w:t xml:space="preserve">     </w:t>
                  </w:r>
                  <w:r>
                    <w:rPr>
                      <w:rFonts w:ascii="黑体" w:eastAsia="黑体" w:hAnsi="黑体" w:cs="Arial" w:hint="eastAsia"/>
                      <w:color w:val="000000"/>
                      <w:kern w:val="0"/>
                      <w:sz w:val="20"/>
                      <w:szCs w:val="20"/>
                    </w:rPr>
                    <w:t>入</w:t>
                  </w:r>
                </w:p>
              </w:tc>
              <w:tc>
                <w:tcPr>
                  <w:tcW w:w="5954" w:type="dxa"/>
                  <w:gridSpan w:val="6"/>
                  <w:tcBorders>
                    <w:top w:val="single" w:sz="4" w:space="0" w:color="000000"/>
                    <w:left w:val="nil"/>
                    <w:bottom w:val="single" w:sz="4" w:space="0" w:color="000000"/>
                    <w:right w:val="single" w:sz="4" w:space="0" w:color="000000"/>
                  </w:tcBorders>
                  <w:shd w:val="clear" w:color="auto" w:fill="auto"/>
                  <w:vAlign w:val="center"/>
                </w:tcPr>
                <w:p w:rsidR="00E77C63" w:rsidRDefault="00720BDD">
                  <w:pPr>
                    <w:widowControl/>
                    <w:jc w:val="center"/>
                    <w:rPr>
                      <w:rFonts w:ascii="黑体" w:eastAsia="黑体" w:hAnsi="黑体" w:cs="Arial"/>
                      <w:color w:val="000000"/>
                      <w:kern w:val="0"/>
                      <w:sz w:val="20"/>
                      <w:szCs w:val="20"/>
                    </w:rPr>
                  </w:pPr>
                  <w:r>
                    <w:rPr>
                      <w:rFonts w:ascii="黑体" w:eastAsia="黑体" w:hAnsi="黑体" w:cs="Arial" w:hint="eastAsia"/>
                      <w:color w:val="000000"/>
                      <w:kern w:val="0"/>
                      <w:sz w:val="20"/>
                      <w:szCs w:val="20"/>
                    </w:rPr>
                    <w:t>支</w:t>
                  </w:r>
                  <w:r>
                    <w:rPr>
                      <w:rFonts w:ascii="黑体" w:eastAsia="黑体" w:hAnsi="黑体" w:cs="Arial" w:hint="eastAsia"/>
                      <w:color w:val="000000"/>
                      <w:kern w:val="0"/>
                      <w:sz w:val="20"/>
                      <w:szCs w:val="20"/>
                    </w:rPr>
                    <w:t xml:space="preserve">     </w:t>
                  </w:r>
                  <w:r>
                    <w:rPr>
                      <w:rFonts w:ascii="黑体" w:eastAsia="黑体" w:hAnsi="黑体" w:cs="Arial" w:hint="eastAsia"/>
                      <w:color w:val="000000"/>
                      <w:kern w:val="0"/>
                      <w:sz w:val="20"/>
                      <w:szCs w:val="20"/>
                    </w:rPr>
                    <w:t>出</w:t>
                  </w:r>
                </w:p>
              </w:tc>
            </w:tr>
            <w:tr w:rsidR="00E77C63">
              <w:trPr>
                <w:gridAfter w:val="1"/>
                <w:wAfter w:w="252" w:type="dxa"/>
                <w:trHeight w:val="312"/>
              </w:trPr>
              <w:tc>
                <w:tcPr>
                  <w:tcW w:w="2123" w:type="dxa"/>
                  <w:vMerge w:val="restart"/>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项目</w:t>
                  </w:r>
                </w:p>
              </w:tc>
              <w:tc>
                <w:tcPr>
                  <w:tcW w:w="450" w:type="dxa"/>
                  <w:vMerge w:val="restart"/>
                  <w:tcBorders>
                    <w:top w:val="nil"/>
                    <w:left w:val="nil"/>
                    <w:bottom w:val="single" w:sz="4" w:space="0" w:color="000000"/>
                    <w:right w:val="single" w:sz="4" w:space="0" w:color="000000"/>
                  </w:tcBorders>
                  <w:shd w:val="clear" w:color="auto" w:fill="auto"/>
                  <w:vAlign w:val="center"/>
                </w:tcPr>
                <w:p w:rsidR="00E77C63" w:rsidRDefault="00720BD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行次</w:t>
                  </w:r>
                </w:p>
              </w:tc>
              <w:tc>
                <w:tcPr>
                  <w:tcW w:w="957" w:type="dxa"/>
                  <w:vMerge w:val="restart"/>
                  <w:tcBorders>
                    <w:top w:val="nil"/>
                    <w:left w:val="nil"/>
                    <w:bottom w:val="single" w:sz="4" w:space="0" w:color="000000"/>
                    <w:right w:val="single" w:sz="4" w:space="0" w:color="000000"/>
                  </w:tcBorders>
                  <w:shd w:val="clear" w:color="auto" w:fill="auto"/>
                  <w:vAlign w:val="center"/>
                </w:tcPr>
                <w:p w:rsidR="00E77C63" w:rsidRDefault="00720BD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金额</w:t>
                  </w:r>
                </w:p>
              </w:tc>
              <w:tc>
                <w:tcPr>
                  <w:tcW w:w="2163" w:type="dxa"/>
                  <w:vMerge w:val="restart"/>
                  <w:tcBorders>
                    <w:top w:val="nil"/>
                    <w:left w:val="nil"/>
                    <w:bottom w:val="single" w:sz="4" w:space="0" w:color="000000"/>
                    <w:right w:val="single" w:sz="4" w:space="0" w:color="000000"/>
                  </w:tcBorders>
                  <w:shd w:val="clear" w:color="auto" w:fill="auto"/>
                  <w:vAlign w:val="center"/>
                </w:tcPr>
                <w:p w:rsidR="00E77C63" w:rsidRDefault="00720BD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项目</w:t>
                  </w:r>
                </w:p>
              </w:tc>
              <w:tc>
                <w:tcPr>
                  <w:tcW w:w="420" w:type="dxa"/>
                  <w:vMerge w:val="restart"/>
                  <w:tcBorders>
                    <w:top w:val="nil"/>
                    <w:left w:val="nil"/>
                    <w:bottom w:val="single" w:sz="4" w:space="0" w:color="000000"/>
                    <w:right w:val="single" w:sz="4" w:space="0" w:color="000000"/>
                  </w:tcBorders>
                  <w:shd w:val="clear" w:color="auto" w:fill="auto"/>
                  <w:vAlign w:val="center"/>
                </w:tcPr>
                <w:p w:rsidR="00E77C63" w:rsidRDefault="00720BD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行次</w:t>
                  </w:r>
                </w:p>
              </w:tc>
              <w:tc>
                <w:tcPr>
                  <w:tcW w:w="817" w:type="dxa"/>
                  <w:vMerge w:val="restart"/>
                  <w:tcBorders>
                    <w:top w:val="nil"/>
                    <w:left w:val="nil"/>
                    <w:bottom w:val="single" w:sz="4" w:space="0" w:color="000000"/>
                    <w:right w:val="single" w:sz="4" w:space="0" w:color="000000"/>
                  </w:tcBorders>
                  <w:shd w:val="clear" w:color="auto" w:fill="auto"/>
                  <w:vAlign w:val="center"/>
                </w:tcPr>
                <w:p w:rsidR="00E77C63" w:rsidRDefault="00720BD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合计</w:t>
                  </w:r>
                </w:p>
              </w:tc>
              <w:tc>
                <w:tcPr>
                  <w:tcW w:w="851" w:type="dxa"/>
                  <w:vMerge w:val="restart"/>
                  <w:tcBorders>
                    <w:top w:val="nil"/>
                    <w:left w:val="nil"/>
                    <w:bottom w:val="single" w:sz="4" w:space="0" w:color="000000"/>
                    <w:right w:val="single" w:sz="4" w:space="0" w:color="000000"/>
                  </w:tcBorders>
                  <w:shd w:val="clear" w:color="auto" w:fill="auto"/>
                  <w:vAlign w:val="center"/>
                </w:tcPr>
                <w:p w:rsidR="00E77C63" w:rsidRDefault="00720BD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一般公共预算财政拨款</w:t>
                  </w:r>
                </w:p>
              </w:tc>
              <w:tc>
                <w:tcPr>
                  <w:tcW w:w="850" w:type="dxa"/>
                  <w:vMerge w:val="restart"/>
                  <w:tcBorders>
                    <w:top w:val="nil"/>
                    <w:left w:val="nil"/>
                    <w:bottom w:val="single" w:sz="4" w:space="0" w:color="000000"/>
                    <w:right w:val="single" w:sz="4" w:space="0" w:color="000000"/>
                  </w:tcBorders>
                  <w:shd w:val="clear" w:color="auto" w:fill="auto"/>
                  <w:vAlign w:val="center"/>
                </w:tcPr>
                <w:p w:rsidR="00E77C63" w:rsidRDefault="00720BD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政府性基金预算财政拨款</w:t>
                  </w:r>
                </w:p>
              </w:tc>
              <w:tc>
                <w:tcPr>
                  <w:tcW w:w="853" w:type="dxa"/>
                  <w:vMerge w:val="restart"/>
                  <w:tcBorders>
                    <w:top w:val="nil"/>
                    <w:left w:val="nil"/>
                    <w:bottom w:val="single" w:sz="4" w:space="0" w:color="000000"/>
                    <w:right w:val="single" w:sz="4" w:space="0" w:color="000000"/>
                  </w:tcBorders>
                  <w:shd w:val="clear" w:color="auto" w:fill="auto"/>
                  <w:vAlign w:val="center"/>
                </w:tcPr>
                <w:p w:rsidR="00E77C63" w:rsidRDefault="00720BD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国有资本经营预算财政拨款</w:t>
                  </w:r>
                </w:p>
              </w:tc>
            </w:tr>
            <w:tr w:rsidR="00E77C63">
              <w:trPr>
                <w:trHeight w:val="172"/>
              </w:trPr>
              <w:tc>
                <w:tcPr>
                  <w:tcW w:w="2123" w:type="dxa"/>
                  <w:vMerge/>
                  <w:tcBorders>
                    <w:top w:val="nil"/>
                    <w:left w:val="single" w:sz="4" w:space="0" w:color="000000"/>
                    <w:bottom w:val="single" w:sz="4" w:space="0" w:color="000000"/>
                    <w:right w:val="single" w:sz="4" w:space="0" w:color="000000"/>
                  </w:tcBorders>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450" w:type="dxa"/>
                  <w:vMerge/>
                  <w:tcBorders>
                    <w:top w:val="nil"/>
                    <w:left w:val="nil"/>
                    <w:bottom w:val="single" w:sz="4" w:space="0" w:color="000000"/>
                    <w:right w:val="single" w:sz="4" w:space="0" w:color="000000"/>
                  </w:tcBorders>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957" w:type="dxa"/>
                  <w:vMerge/>
                  <w:tcBorders>
                    <w:top w:val="nil"/>
                    <w:left w:val="nil"/>
                    <w:bottom w:val="single" w:sz="4" w:space="0" w:color="000000"/>
                    <w:right w:val="single" w:sz="4" w:space="0" w:color="000000"/>
                  </w:tcBorders>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2163" w:type="dxa"/>
                  <w:vMerge/>
                  <w:tcBorders>
                    <w:top w:val="nil"/>
                    <w:left w:val="nil"/>
                    <w:bottom w:val="single" w:sz="4" w:space="0" w:color="000000"/>
                    <w:right w:val="single" w:sz="4" w:space="0" w:color="000000"/>
                  </w:tcBorders>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420" w:type="dxa"/>
                  <w:vMerge/>
                  <w:tcBorders>
                    <w:top w:val="nil"/>
                    <w:left w:val="nil"/>
                    <w:bottom w:val="single" w:sz="4" w:space="0" w:color="000000"/>
                    <w:right w:val="single" w:sz="4" w:space="0" w:color="000000"/>
                  </w:tcBorders>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817" w:type="dxa"/>
                  <w:vMerge/>
                  <w:tcBorders>
                    <w:top w:val="nil"/>
                    <w:left w:val="nil"/>
                    <w:bottom w:val="single" w:sz="4" w:space="0" w:color="000000"/>
                    <w:right w:val="single" w:sz="4" w:space="0" w:color="000000"/>
                  </w:tcBorders>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851" w:type="dxa"/>
                  <w:vMerge/>
                  <w:tcBorders>
                    <w:top w:val="nil"/>
                    <w:left w:val="nil"/>
                    <w:bottom w:val="single" w:sz="4" w:space="0" w:color="000000"/>
                    <w:right w:val="single" w:sz="4" w:space="0" w:color="000000"/>
                  </w:tcBorders>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850" w:type="dxa"/>
                  <w:vMerge/>
                  <w:tcBorders>
                    <w:top w:val="nil"/>
                    <w:left w:val="nil"/>
                    <w:bottom w:val="single" w:sz="4" w:space="0" w:color="000000"/>
                    <w:right w:val="single" w:sz="4" w:space="0" w:color="000000"/>
                  </w:tcBorders>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853" w:type="dxa"/>
                  <w:vMerge/>
                  <w:tcBorders>
                    <w:top w:val="nil"/>
                    <w:left w:val="nil"/>
                    <w:bottom w:val="single" w:sz="4" w:space="0" w:color="000000"/>
                    <w:right w:val="single" w:sz="4" w:space="0" w:color="000000"/>
                  </w:tcBorders>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252" w:type="dxa"/>
                  <w:tcBorders>
                    <w:top w:val="nil"/>
                    <w:left w:val="nil"/>
                    <w:bottom w:val="nil"/>
                    <w:right w:val="nil"/>
                  </w:tcBorders>
                  <w:shd w:val="clear" w:color="auto" w:fill="auto"/>
                  <w:noWrap/>
                  <w:vAlign w:val="bottom"/>
                </w:tcPr>
                <w:p w:rsidR="00E77C63" w:rsidRDefault="00E77C63">
                  <w:pPr>
                    <w:widowControl/>
                    <w:jc w:val="center"/>
                    <w:rPr>
                      <w:rFonts w:ascii="宋体" w:eastAsia="宋体" w:hAnsi="宋体" w:cs="Arial"/>
                      <w:color w:val="000000"/>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栏次</w:t>
                  </w:r>
                </w:p>
              </w:tc>
              <w:tc>
                <w:tcPr>
                  <w:tcW w:w="4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95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w:t>
                  </w: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栏次</w:t>
                  </w:r>
                </w:p>
              </w:tc>
              <w:tc>
                <w:tcPr>
                  <w:tcW w:w="42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1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w:t>
                  </w:r>
                </w:p>
              </w:tc>
              <w:tc>
                <w:tcPr>
                  <w:tcW w:w="851"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w:t>
                  </w:r>
                </w:p>
              </w:tc>
              <w:tc>
                <w:tcPr>
                  <w:tcW w:w="8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w:t>
                  </w:r>
                </w:p>
              </w:tc>
              <w:tc>
                <w:tcPr>
                  <w:tcW w:w="85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w:t>
                  </w: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一、一般公共预算财政拨款</w:t>
                  </w: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w:t>
                  </w:r>
                </w:p>
              </w:tc>
              <w:tc>
                <w:tcPr>
                  <w:tcW w:w="95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1276.21</w:t>
                  </w: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一、一般公共服务支出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33</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宋体"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二、政府性基金预算财政拨款</w:t>
                  </w: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二、外交支出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34</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三、国有资本经营财政拨款</w:t>
                  </w: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三、国防支出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35</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四、公共安全支出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36</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五、教育支出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37</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六、科学技术支出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38</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7</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七、文化旅游体育与传媒支出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39</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8</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八、社会保障和就业支出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40</w:t>
                  </w:r>
                </w:p>
              </w:tc>
              <w:tc>
                <w:tcPr>
                  <w:tcW w:w="81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宋体" w:eastAsia="宋体" w:hAnsi="宋体" w:cs="Arial"/>
                      <w:color w:val="000000"/>
                      <w:kern w:val="0"/>
                      <w:sz w:val="15"/>
                      <w:szCs w:val="15"/>
                    </w:rPr>
                  </w:pPr>
                  <w:r>
                    <w:rPr>
                      <w:rFonts w:ascii="宋体" w:eastAsia="宋体" w:hAnsi="宋体" w:cs="Arial" w:hint="eastAsia"/>
                      <w:color w:val="000000"/>
                      <w:kern w:val="0"/>
                      <w:sz w:val="15"/>
                      <w:szCs w:val="15"/>
                    </w:rPr>
                    <w:t>1.92</w:t>
                  </w:r>
                </w:p>
              </w:tc>
              <w:tc>
                <w:tcPr>
                  <w:tcW w:w="851"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1.92</w:t>
                  </w: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9</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九、卫生健康支出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41</w:t>
                  </w:r>
                </w:p>
              </w:tc>
              <w:tc>
                <w:tcPr>
                  <w:tcW w:w="81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宋体" w:eastAsia="宋体" w:hAnsi="宋体" w:cs="Arial"/>
                      <w:color w:val="000000"/>
                      <w:kern w:val="0"/>
                      <w:sz w:val="15"/>
                      <w:szCs w:val="15"/>
                    </w:rPr>
                  </w:pPr>
                  <w:r>
                    <w:rPr>
                      <w:rFonts w:ascii="宋体" w:eastAsia="宋体" w:hAnsi="宋体" w:cs="Arial" w:hint="eastAsia"/>
                      <w:color w:val="000000"/>
                      <w:kern w:val="0"/>
                      <w:sz w:val="15"/>
                      <w:szCs w:val="15"/>
                    </w:rPr>
                    <w:t>1223.24</w:t>
                  </w:r>
                </w:p>
              </w:tc>
              <w:tc>
                <w:tcPr>
                  <w:tcW w:w="851"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Times New Roman" w:eastAsia="宋体" w:hAnsi="Times New Roman" w:cs="Times New Roman"/>
                      <w:kern w:val="0"/>
                      <w:sz w:val="15"/>
                      <w:szCs w:val="15"/>
                    </w:rPr>
                  </w:pPr>
                  <w:r>
                    <w:rPr>
                      <w:rFonts w:ascii="Times New Roman" w:eastAsia="宋体" w:hAnsi="Times New Roman" w:cs="Times New Roman" w:hint="eastAsia"/>
                      <w:color w:val="000000" w:themeColor="text1"/>
                      <w:kern w:val="0"/>
                      <w:sz w:val="15"/>
                      <w:szCs w:val="15"/>
                    </w:rPr>
                    <w:t>1223.24</w:t>
                  </w: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10</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十、节能环保支出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42</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11</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十一、城乡社区支出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43</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12</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十二、农林水支出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44</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13</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十三、交通运输支出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45</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14</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十四、资源勘探工业信息等支出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46</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15</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十五、商业服务业等支出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47</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16</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十六、金融支出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48</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17</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十七、援助其他地区支出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49</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18</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十八、自然资源海洋气象等支出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50</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19</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十九、住房保障支出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51</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20</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二十、粮油物资储备支出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52</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21</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二十一、国有资本经营预算支出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53</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22</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3"/>
                      <w:szCs w:val="13"/>
                    </w:rPr>
                    <w:t>二十二、灾害防治及应急管理支出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54</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23</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二十三、其他支出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55</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AC1EA5">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AC1EA5" w:rsidRDefault="00AC1EA5">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AC1EA5" w:rsidRDefault="00AC1EA5">
                  <w:pPr>
                    <w:widowControl/>
                    <w:spacing w:line="200" w:lineRule="exact"/>
                    <w:jc w:val="center"/>
                    <w:rPr>
                      <w:rFonts w:ascii="宋体" w:eastAsia="宋体" w:hAnsi="宋体" w:cs="Arial" w:hint="eastAsia"/>
                      <w:color w:val="000000"/>
                      <w:kern w:val="0"/>
                      <w:sz w:val="15"/>
                      <w:szCs w:val="15"/>
                    </w:rPr>
                  </w:pPr>
                  <w:r>
                    <w:rPr>
                      <w:rFonts w:ascii="宋体" w:eastAsia="宋体" w:hAnsi="宋体" w:cs="Arial" w:hint="eastAsia"/>
                      <w:color w:val="000000"/>
                      <w:kern w:val="0"/>
                      <w:sz w:val="15"/>
                      <w:szCs w:val="15"/>
                    </w:rPr>
                    <w:t>24</w:t>
                  </w:r>
                </w:p>
              </w:tc>
              <w:tc>
                <w:tcPr>
                  <w:tcW w:w="957" w:type="dxa"/>
                  <w:tcBorders>
                    <w:top w:val="nil"/>
                    <w:left w:val="nil"/>
                    <w:bottom w:val="single" w:sz="4" w:space="0" w:color="000000"/>
                    <w:right w:val="single" w:sz="4" w:space="0" w:color="000000"/>
                  </w:tcBorders>
                  <w:shd w:val="clear" w:color="auto" w:fill="auto"/>
                  <w:vAlign w:val="center"/>
                </w:tcPr>
                <w:p w:rsidR="00AC1EA5" w:rsidRDefault="00AC1EA5">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AC1EA5" w:rsidRDefault="00AC1EA5">
                  <w:pPr>
                    <w:widowControl/>
                    <w:spacing w:line="200" w:lineRule="exact"/>
                    <w:jc w:val="left"/>
                    <w:rPr>
                      <w:rFonts w:ascii="宋体" w:eastAsia="宋体" w:hAnsi="宋体" w:cs="Arial" w:hint="eastAsia"/>
                      <w:color w:val="000000"/>
                      <w:kern w:val="0"/>
                      <w:sz w:val="15"/>
                      <w:szCs w:val="15"/>
                    </w:rPr>
                  </w:pPr>
                  <w:r>
                    <w:rPr>
                      <w:rFonts w:ascii="宋体" w:eastAsia="宋体" w:hAnsi="宋体" w:cs="Arial" w:hint="eastAsia"/>
                      <w:color w:val="000000"/>
                      <w:kern w:val="0"/>
                      <w:sz w:val="15"/>
                      <w:szCs w:val="15"/>
                    </w:rPr>
                    <w:t>二十四、债务还本支出</w:t>
                  </w:r>
                </w:p>
              </w:tc>
              <w:tc>
                <w:tcPr>
                  <w:tcW w:w="420" w:type="dxa"/>
                  <w:tcBorders>
                    <w:top w:val="nil"/>
                    <w:left w:val="nil"/>
                    <w:bottom w:val="single" w:sz="4" w:space="0" w:color="000000"/>
                    <w:right w:val="single" w:sz="4" w:space="0" w:color="000000"/>
                  </w:tcBorders>
                  <w:shd w:val="clear" w:color="auto" w:fill="auto"/>
                  <w:vAlign w:val="center"/>
                </w:tcPr>
                <w:p w:rsidR="00AC1EA5" w:rsidRPr="00AC1EA5" w:rsidRDefault="00AC1EA5">
                  <w:pPr>
                    <w:widowControl/>
                    <w:spacing w:line="200" w:lineRule="exact"/>
                    <w:jc w:val="center"/>
                    <w:rPr>
                      <w:rFonts w:ascii="宋体" w:eastAsia="宋体" w:hAnsi="宋体" w:cs="Arial" w:hint="eastAsia"/>
                      <w:color w:val="000000"/>
                      <w:kern w:val="0"/>
                      <w:sz w:val="15"/>
                      <w:szCs w:val="15"/>
                    </w:rPr>
                  </w:pPr>
                  <w:r>
                    <w:rPr>
                      <w:rFonts w:ascii="宋体" w:eastAsia="宋体" w:hAnsi="宋体" w:cs="Arial" w:hint="eastAsia"/>
                      <w:color w:val="000000"/>
                      <w:kern w:val="0"/>
                      <w:sz w:val="15"/>
                      <w:szCs w:val="15"/>
                    </w:rPr>
                    <w:t>56</w:t>
                  </w:r>
                </w:p>
              </w:tc>
              <w:tc>
                <w:tcPr>
                  <w:tcW w:w="817" w:type="dxa"/>
                  <w:tcBorders>
                    <w:top w:val="nil"/>
                    <w:left w:val="nil"/>
                    <w:bottom w:val="single" w:sz="4" w:space="0" w:color="000000"/>
                    <w:right w:val="single" w:sz="4" w:space="0" w:color="000000"/>
                  </w:tcBorders>
                  <w:shd w:val="clear" w:color="auto" w:fill="auto"/>
                  <w:vAlign w:val="center"/>
                </w:tcPr>
                <w:p w:rsidR="00AC1EA5" w:rsidRDefault="00AC1EA5">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AC1EA5" w:rsidRDefault="00AC1EA5">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AC1EA5" w:rsidRDefault="00AC1EA5">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AC1EA5" w:rsidRDefault="00AC1EA5">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AC1EA5" w:rsidRDefault="00AC1EA5">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25</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二十五、债务付息支出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57</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26</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二十六、抗疫特别国债安排的支出</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58</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Times New Roman" w:eastAsia="Times New Roman" w:hAnsi="Times New Roman" w:cs="Times New Roman"/>
                      <w:kern w:val="0"/>
                      <w:sz w:val="15"/>
                      <w:szCs w:val="15"/>
                    </w:rPr>
                  </w:pPr>
                  <w:r>
                    <w:rPr>
                      <w:rFonts w:ascii="宋体" w:eastAsia="宋体" w:hAnsi="宋体" w:cs="Arial" w:hint="eastAsia"/>
                      <w:b/>
                      <w:bCs/>
                      <w:color w:val="000000"/>
                      <w:kern w:val="0"/>
                      <w:sz w:val="15"/>
                      <w:szCs w:val="15"/>
                    </w:rPr>
                    <w:t>本年收入合计</w:t>
                  </w: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27</w:t>
                  </w:r>
                </w:p>
              </w:tc>
              <w:tc>
                <w:tcPr>
                  <w:tcW w:w="95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宋体" w:eastAsia="宋体" w:hAnsi="宋体" w:cs="Arial"/>
                      <w:color w:val="000000"/>
                      <w:kern w:val="0"/>
                      <w:sz w:val="15"/>
                      <w:szCs w:val="15"/>
                    </w:rPr>
                  </w:pPr>
                  <w:r>
                    <w:rPr>
                      <w:rFonts w:ascii="宋体" w:eastAsia="宋体" w:hAnsi="宋体" w:cs="Arial" w:hint="eastAsia"/>
                      <w:color w:val="000000"/>
                      <w:kern w:val="0"/>
                      <w:sz w:val="15"/>
                      <w:szCs w:val="15"/>
                    </w:rPr>
                    <w:t>1276.21</w:t>
                  </w: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b/>
                      <w:bCs/>
                      <w:color w:val="000000"/>
                      <w:kern w:val="0"/>
                      <w:sz w:val="15"/>
                      <w:szCs w:val="15"/>
                    </w:rPr>
                    <w:t>本年支出合计</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59</w:t>
                  </w:r>
                </w:p>
              </w:tc>
              <w:tc>
                <w:tcPr>
                  <w:tcW w:w="81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1225.16</w:t>
                  </w:r>
                </w:p>
              </w:tc>
              <w:tc>
                <w:tcPr>
                  <w:tcW w:w="851"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1225.16</w:t>
                  </w: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b/>
                      <w:bCs/>
                      <w:color w:val="000000"/>
                      <w:kern w:val="0"/>
                      <w:sz w:val="15"/>
                      <w:szCs w:val="15"/>
                    </w:rPr>
                  </w:pPr>
                  <w:r>
                    <w:rPr>
                      <w:rFonts w:ascii="宋体" w:eastAsia="宋体" w:hAnsi="宋体" w:cs="Arial" w:hint="eastAsia"/>
                      <w:color w:val="000000"/>
                      <w:kern w:val="0"/>
                      <w:sz w:val="15"/>
                      <w:szCs w:val="15"/>
                    </w:rPr>
                    <w:t>年初财政拨款结转和结余</w:t>
                  </w: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28</w:t>
                  </w:r>
                </w:p>
              </w:tc>
              <w:tc>
                <w:tcPr>
                  <w:tcW w:w="95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宋体" w:eastAsia="宋体" w:hAnsi="宋体" w:cs="Arial"/>
                      <w:color w:val="000000"/>
                      <w:kern w:val="0"/>
                      <w:sz w:val="15"/>
                      <w:szCs w:val="15"/>
                    </w:rPr>
                  </w:pPr>
                  <w:r>
                    <w:rPr>
                      <w:rFonts w:ascii="宋体" w:eastAsia="宋体" w:hAnsi="宋体" w:cs="Arial" w:hint="eastAsia"/>
                      <w:color w:val="000000"/>
                      <w:kern w:val="0"/>
                      <w:sz w:val="15"/>
                      <w:szCs w:val="15"/>
                    </w:rPr>
                    <w:t>90.25</w:t>
                  </w: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b/>
                      <w:bCs/>
                      <w:color w:val="000000"/>
                      <w:kern w:val="0"/>
                      <w:sz w:val="15"/>
                      <w:szCs w:val="15"/>
                    </w:rPr>
                  </w:pPr>
                  <w:r>
                    <w:rPr>
                      <w:rFonts w:ascii="宋体" w:eastAsia="宋体" w:hAnsi="宋体" w:cs="Arial" w:hint="eastAsia"/>
                      <w:color w:val="000000"/>
                      <w:kern w:val="0"/>
                      <w:sz w:val="15"/>
                      <w:szCs w:val="15"/>
                    </w:rPr>
                    <w:t>年末财政拨款结转和结余</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60</w:t>
                  </w:r>
                </w:p>
              </w:tc>
              <w:tc>
                <w:tcPr>
                  <w:tcW w:w="81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141.30</w:t>
                  </w:r>
                </w:p>
              </w:tc>
              <w:tc>
                <w:tcPr>
                  <w:tcW w:w="851"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141.30</w:t>
                  </w: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 xml:space="preserve">  </w:t>
                  </w:r>
                  <w:r>
                    <w:rPr>
                      <w:rFonts w:ascii="宋体" w:eastAsia="宋体" w:hAnsi="宋体" w:cs="Arial" w:hint="eastAsia"/>
                      <w:color w:val="000000"/>
                      <w:kern w:val="0"/>
                      <w:sz w:val="15"/>
                      <w:szCs w:val="15"/>
                    </w:rPr>
                    <w:t>一般公共预算财政拨款</w:t>
                  </w: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29</w:t>
                  </w:r>
                </w:p>
              </w:tc>
              <w:tc>
                <w:tcPr>
                  <w:tcW w:w="95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宋体" w:eastAsia="宋体" w:hAnsi="宋体" w:cs="Arial"/>
                      <w:color w:val="000000"/>
                      <w:kern w:val="0"/>
                      <w:sz w:val="15"/>
                      <w:szCs w:val="15"/>
                    </w:rPr>
                  </w:pPr>
                  <w:r>
                    <w:rPr>
                      <w:rFonts w:ascii="宋体" w:eastAsia="宋体" w:hAnsi="宋体" w:cs="Arial" w:hint="eastAsia"/>
                      <w:color w:val="000000"/>
                      <w:kern w:val="0"/>
                      <w:sz w:val="15"/>
                      <w:szCs w:val="15"/>
                    </w:rPr>
                    <w:t>90.25</w:t>
                  </w:r>
                </w:p>
              </w:tc>
              <w:tc>
                <w:tcPr>
                  <w:tcW w:w="216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宋体" w:eastAsia="宋体" w:hAnsi="宋体" w:cs="Arial"/>
                      <w:color w:val="000000"/>
                      <w:kern w:val="0"/>
                      <w:sz w:val="15"/>
                      <w:szCs w:val="15"/>
                    </w:rPr>
                  </w:pP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61</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 xml:space="preserve">  </w:t>
                  </w:r>
                  <w:r>
                    <w:rPr>
                      <w:rFonts w:ascii="宋体" w:eastAsia="宋体" w:hAnsi="宋体" w:cs="Arial" w:hint="eastAsia"/>
                      <w:color w:val="000000"/>
                      <w:kern w:val="0"/>
                      <w:sz w:val="15"/>
                      <w:szCs w:val="15"/>
                    </w:rPr>
                    <w:t>政府性基金预算财政拨款</w:t>
                  </w: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30</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62</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 xml:space="preserve">  </w:t>
                  </w:r>
                  <w:r>
                    <w:rPr>
                      <w:rFonts w:ascii="宋体" w:eastAsia="宋体" w:hAnsi="宋体" w:cs="Arial" w:hint="eastAsia"/>
                      <w:color w:val="000000"/>
                      <w:kern w:val="0"/>
                      <w:sz w:val="15"/>
                      <w:szCs w:val="15"/>
                    </w:rPr>
                    <w:t>国有资本经营预算财政拨款</w:t>
                  </w:r>
                </w:p>
              </w:tc>
              <w:tc>
                <w:tcPr>
                  <w:tcW w:w="45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31</w:t>
                  </w:r>
                </w:p>
              </w:tc>
              <w:tc>
                <w:tcPr>
                  <w:tcW w:w="95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宋体" w:eastAsia="宋体" w:hAnsi="宋体" w:cs="Arial"/>
                      <w:color w:val="000000"/>
                      <w:kern w:val="0"/>
                      <w:sz w:val="15"/>
                      <w:szCs w:val="15"/>
                    </w:rPr>
                  </w:pPr>
                </w:p>
              </w:tc>
              <w:tc>
                <w:tcPr>
                  <w:tcW w:w="216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63</w:t>
                  </w:r>
                </w:p>
              </w:tc>
              <w:tc>
                <w:tcPr>
                  <w:tcW w:w="817"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2123" w:type="dxa"/>
                  <w:tcBorders>
                    <w:top w:val="nil"/>
                    <w:left w:val="single" w:sz="4" w:space="0" w:color="000000"/>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b/>
                      <w:bCs/>
                      <w:color w:val="000000"/>
                      <w:kern w:val="0"/>
                      <w:sz w:val="15"/>
                      <w:szCs w:val="15"/>
                    </w:rPr>
                    <w:t>总计</w:t>
                  </w:r>
                </w:p>
              </w:tc>
              <w:tc>
                <w:tcPr>
                  <w:tcW w:w="450" w:type="dxa"/>
                  <w:tcBorders>
                    <w:top w:val="nil"/>
                    <w:left w:val="nil"/>
                    <w:bottom w:val="single" w:sz="8"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32</w:t>
                  </w:r>
                </w:p>
              </w:tc>
              <w:tc>
                <w:tcPr>
                  <w:tcW w:w="95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宋体" w:eastAsia="宋体" w:hAnsi="宋体" w:cs="Arial"/>
                      <w:color w:val="000000"/>
                      <w:kern w:val="0"/>
                      <w:sz w:val="15"/>
                      <w:szCs w:val="15"/>
                    </w:rPr>
                  </w:pPr>
                  <w:r>
                    <w:rPr>
                      <w:rFonts w:ascii="宋体" w:eastAsia="宋体" w:hAnsi="宋体" w:cs="Arial" w:hint="eastAsia"/>
                      <w:color w:val="000000"/>
                      <w:kern w:val="0"/>
                      <w:sz w:val="15"/>
                      <w:szCs w:val="15"/>
                    </w:rPr>
                    <w:t>1366.46</w:t>
                  </w:r>
                </w:p>
              </w:tc>
              <w:tc>
                <w:tcPr>
                  <w:tcW w:w="2163"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Times New Roman" w:eastAsia="Times New Roman" w:hAnsi="Times New Roman" w:cs="Times New Roman"/>
                      <w:kern w:val="0"/>
                      <w:sz w:val="15"/>
                      <w:szCs w:val="15"/>
                    </w:rPr>
                  </w:pPr>
                  <w:r>
                    <w:rPr>
                      <w:rFonts w:ascii="宋体" w:eastAsia="宋体" w:hAnsi="宋体" w:cs="Arial" w:hint="eastAsia"/>
                      <w:b/>
                      <w:bCs/>
                      <w:color w:val="000000"/>
                      <w:kern w:val="0"/>
                      <w:sz w:val="15"/>
                      <w:szCs w:val="15"/>
                    </w:rPr>
                    <w:t>总计</w:t>
                  </w:r>
                </w:p>
              </w:tc>
              <w:tc>
                <w:tcPr>
                  <w:tcW w:w="420"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64</w:t>
                  </w:r>
                </w:p>
              </w:tc>
              <w:tc>
                <w:tcPr>
                  <w:tcW w:w="817"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1366.46</w:t>
                  </w:r>
                </w:p>
              </w:tc>
              <w:tc>
                <w:tcPr>
                  <w:tcW w:w="851" w:type="dxa"/>
                  <w:tcBorders>
                    <w:top w:val="nil"/>
                    <w:left w:val="nil"/>
                    <w:bottom w:val="single" w:sz="4" w:space="0" w:color="000000"/>
                    <w:right w:val="single" w:sz="4" w:space="0" w:color="000000"/>
                  </w:tcBorders>
                  <w:shd w:val="clear" w:color="auto" w:fill="auto"/>
                  <w:vAlign w:val="center"/>
                </w:tcPr>
                <w:p w:rsidR="00E77C63" w:rsidRDefault="00720BDD">
                  <w:pPr>
                    <w:widowControl/>
                    <w:spacing w:line="200" w:lineRule="exact"/>
                    <w:jc w:val="right"/>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1366.46</w:t>
                  </w:r>
                </w:p>
              </w:tc>
              <w:tc>
                <w:tcPr>
                  <w:tcW w:w="850"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E77C63" w:rsidRDefault="00E77C63">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9484" w:type="dxa"/>
                  <w:gridSpan w:val="9"/>
                  <w:tcBorders>
                    <w:top w:val="nil"/>
                    <w:left w:val="nil"/>
                    <w:bottom w:val="nil"/>
                    <w:right w:val="single" w:sz="4" w:space="0" w:color="000000"/>
                  </w:tcBorders>
                  <w:shd w:val="clear" w:color="auto" w:fill="auto"/>
                  <w:vAlign w:val="center"/>
                </w:tcPr>
                <w:p w:rsidR="00E77C63" w:rsidRDefault="00720BDD">
                  <w:pPr>
                    <w:widowControl/>
                    <w:spacing w:line="200" w:lineRule="exact"/>
                    <w:jc w:val="left"/>
                    <w:rPr>
                      <w:rFonts w:ascii="Times New Roman" w:eastAsia="Times New Roman" w:hAnsi="Times New Roman" w:cs="Times New Roman"/>
                      <w:kern w:val="0"/>
                      <w:sz w:val="15"/>
                      <w:szCs w:val="15"/>
                    </w:rPr>
                  </w:pPr>
                  <w:r>
                    <w:rPr>
                      <w:rFonts w:ascii="宋体" w:eastAsia="宋体" w:hAnsi="宋体" w:cs="Arial" w:hint="eastAsia"/>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r w:rsidR="00E77C63">
              <w:trPr>
                <w:trHeight w:val="90"/>
              </w:trPr>
              <w:tc>
                <w:tcPr>
                  <w:tcW w:w="9484" w:type="dxa"/>
                  <w:gridSpan w:val="9"/>
                  <w:tcBorders>
                    <w:top w:val="nil"/>
                    <w:left w:val="nil"/>
                    <w:bottom w:val="nil"/>
                    <w:right w:val="nil"/>
                  </w:tcBorders>
                  <w:shd w:val="clear" w:color="auto" w:fill="auto"/>
                  <w:vAlign w:val="center"/>
                </w:tcPr>
                <w:p w:rsidR="00E77C63" w:rsidRDefault="00E77C63">
                  <w:pPr>
                    <w:widowControl/>
                    <w:spacing w:line="240" w:lineRule="exact"/>
                    <w:jc w:val="left"/>
                    <w:rPr>
                      <w:rFonts w:ascii="宋体" w:eastAsia="宋体" w:hAnsi="宋体" w:cs="Arial"/>
                      <w:color w:val="000000"/>
                      <w:kern w:val="0"/>
                      <w:sz w:val="15"/>
                      <w:szCs w:val="15"/>
                    </w:rPr>
                  </w:pPr>
                </w:p>
              </w:tc>
              <w:tc>
                <w:tcPr>
                  <w:tcW w:w="252" w:type="dxa"/>
                  <w:vAlign w:val="center"/>
                </w:tcPr>
                <w:p w:rsidR="00E77C63" w:rsidRDefault="00E77C63">
                  <w:pPr>
                    <w:widowControl/>
                    <w:jc w:val="left"/>
                    <w:rPr>
                      <w:rFonts w:ascii="Times New Roman" w:eastAsia="Times New Roman" w:hAnsi="Times New Roman" w:cs="Times New Roman"/>
                      <w:kern w:val="0"/>
                      <w:sz w:val="15"/>
                      <w:szCs w:val="15"/>
                    </w:rPr>
                  </w:pPr>
                </w:p>
              </w:tc>
            </w:tr>
          </w:tbl>
          <w:p w:rsidR="00E77C63" w:rsidRDefault="00720BDD">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lang/>
              </w:rPr>
              <w:t>一般公共预算财政拨款支出决算表</w:t>
            </w:r>
          </w:p>
        </w:tc>
      </w:tr>
      <w:tr w:rsidR="00E77C63">
        <w:trPr>
          <w:trHeight w:val="255"/>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公开</w:t>
            </w:r>
            <w:r>
              <w:rPr>
                <w:rFonts w:ascii="宋体" w:eastAsia="宋体" w:hAnsi="宋体" w:cs="宋体" w:hint="eastAsia"/>
                <w:color w:val="000000"/>
                <w:kern w:val="0"/>
                <w:sz w:val="18"/>
                <w:szCs w:val="18"/>
                <w:lang/>
              </w:rPr>
              <w:t>05</w:t>
            </w:r>
            <w:r>
              <w:rPr>
                <w:rFonts w:ascii="宋体" w:eastAsia="宋体" w:hAnsi="宋体" w:cs="宋体" w:hint="eastAsia"/>
                <w:color w:val="000000"/>
                <w:kern w:val="0"/>
                <w:sz w:val="18"/>
                <w:szCs w:val="18"/>
                <w:lang/>
              </w:rPr>
              <w:t>表</w:t>
            </w:r>
          </w:p>
        </w:tc>
      </w:tr>
      <w:tr w:rsidR="00E77C63">
        <w:trPr>
          <w:trHeight w:val="255"/>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rsidR="00E77C63" w:rsidRDefault="00720BDD">
            <w:pPr>
              <w:rPr>
                <w:rFonts w:ascii="Arial" w:hAnsi="Arial" w:cs="Arial"/>
                <w:color w:val="000000"/>
                <w:sz w:val="18"/>
                <w:szCs w:val="18"/>
              </w:rPr>
            </w:pPr>
            <w:r>
              <w:rPr>
                <w:rFonts w:ascii="Arial" w:hAnsi="Arial" w:cs="Arial" w:hint="eastAsia"/>
                <w:color w:val="000000"/>
                <w:sz w:val="18"/>
                <w:szCs w:val="18"/>
              </w:rPr>
              <w:t>张家口市第四医院</w:t>
            </w:r>
          </w:p>
        </w:tc>
        <w:tc>
          <w:tcPr>
            <w:tcW w:w="232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金额单位：万元</w:t>
            </w:r>
          </w:p>
        </w:tc>
      </w:tr>
      <w:tr w:rsidR="00E77C63">
        <w:trPr>
          <w:trHeight w:val="308"/>
          <w:jc w:val="center"/>
        </w:trPr>
        <w:tc>
          <w:tcPr>
            <w:tcW w:w="300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项目</w:t>
            </w:r>
          </w:p>
        </w:tc>
        <w:tc>
          <w:tcPr>
            <w:tcW w:w="6987" w:type="dxa"/>
            <w:gridSpan w:val="4"/>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本年支出</w:t>
            </w:r>
          </w:p>
        </w:tc>
      </w:tr>
      <w:tr w:rsidR="00E77C63">
        <w:trPr>
          <w:trHeight w:val="312"/>
          <w:jc w:val="center"/>
        </w:trPr>
        <w:tc>
          <w:tcPr>
            <w:tcW w:w="1308"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功能分类科目编码</w:t>
            </w:r>
          </w:p>
        </w:tc>
        <w:tc>
          <w:tcPr>
            <w:tcW w:w="1695"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科目名称</w:t>
            </w:r>
          </w:p>
        </w:tc>
        <w:tc>
          <w:tcPr>
            <w:tcW w:w="23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小计</w:t>
            </w:r>
          </w:p>
        </w:tc>
        <w:tc>
          <w:tcPr>
            <w:tcW w:w="23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基本支出</w:t>
            </w:r>
          </w:p>
        </w:tc>
        <w:tc>
          <w:tcPr>
            <w:tcW w:w="232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lang/>
              </w:rPr>
              <w:t>项目支出</w:t>
            </w:r>
          </w:p>
        </w:tc>
      </w:tr>
      <w:tr w:rsidR="00E77C63">
        <w:trPr>
          <w:trHeight w:val="312"/>
          <w:jc w:val="center"/>
        </w:trPr>
        <w:tc>
          <w:tcPr>
            <w:tcW w:w="130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695"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232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r>
      <w:tr w:rsidR="00E77C63">
        <w:trPr>
          <w:trHeight w:val="312"/>
          <w:jc w:val="center"/>
        </w:trPr>
        <w:tc>
          <w:tcPr>
            <w:tcW w:w="130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1695"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c>
          <w:tcPr>
            <w:tcW w:w="232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8"/>
                <w:szCs w:val="18"/>
              </w:rPr>
            </w:pPr>
          </w:p>
        </w:tc>
      </w:tr>
      <w:tr w:rsidR="00E77C63">
        <w:trPr>
          <w:trHeight w:val="308"/>
          <w:jc w:val="center"/>
        </w:trPr>
        <w:tc>
          <w:tcPr>
            <w:tcW w:w="30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栏次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1</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3</w:t>
            </w:r>
          </w:p>
        </w:tc>
      </w:tr>
      <w:tr w:rsidR="00E77C63">
        <w:trPr>
          <w:trHeight w:val="308"/>
          <w:jc w:val="center"/>
        </w:trPr>
        <w:tc>
          <w:tcPr>
            <w:tcW w:w="30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合计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bCs/>
                <w:color w:val="000000"/>
                <w:sz w:val="18"/>
                <w:szCs w:val="18"/>
              </w:rPr>
            </w:pPr>
            <w:r>
              <w:rPr>
                <w:rFonts w:ascii="宋体" w:eastAsia="宋体" w:hAnsi="宋体" w:cs="宋体" w:hint="eastAsia"/>
                <w:bCs/>
                <w:color w:val="000000"/>
                <w:sz w:val="18"/>
                <w:szCs w:val="18"/>
              </w:rPr>
              <w:t>1225.16</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bCs/>
                <w:color w:val="000000"/>
                <w:sz w:val="18"/>
                <w:szCs w:val="18"/>
              </w:rPr>
            </w:pPr>
            <w:r>
              <w:rPr>
                <w:rFonts w:ascii="宋体" w:eastAsia="宋体" w:hAnsi="宋体" w:cs="宋体" w:hint="eastAsia"/>
                <w:bCs/>
                <w:color w:val="000000"/>
                <w:sz w:val="18"/>
                <w:szCs w:val="18"/>
              </w:rPr>
              <w:t>975.6</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bCs/>
                <w:color w:val="000000"/>
                <w:sz w:val="18"/>
                <w:szCs w:val="18"/>
              </w:rPr>
            </w:pPr>
            <w:r>
              <w:rPr>
                <w:rFonts w:ascii="宋体" w:eastAsia="宋体" w:hAnsi="宋体" w:cs="宋体" w:hint="eastAsia"/>
                <w:bCs/>
                <w:color w:val="000000"/>
                <w:sz w:val="18"/>
                <w:szCs w:val="18"/>
              </w:rPr>
              <w:t>249.56</w:t>
            </w:r>
          </w:p>
        </w:tc>
      </w:tr>
      <w:tr w:rsidR="00E77C63">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2080502</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事业单位离退休</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1.92</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1.92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r>
      <w:tr w:rsidR="00E77C63">
        <w:trPr>
          <w:trHeight w:val="272"/>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2100199</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其他卫生健康管理事务支出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0.1</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0.1</w:t>
            </w:r>
          </w:p>
        </w:tc>
      </w:tr>
      <w:tr w:rsidR="00E77C63">
        <w:trPr>
          <w:trHeight w:val="302"/>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2100201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综合医院</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49.46</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49.46</w:t>
            </w:r>
          </w:p>
        </w:tc>
      </w:tr>
      <w:tr w:rsidR="00E77C63">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2100208</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其他专科医院</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1003.68</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973.68</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30</w:t>
            </w:r>
          </w:p>
        </w:tc>
      </w:tr>
      <w:tr w:rsidR="00E77C63">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2100299</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其他公立医院支出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168</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168</w:t>
            </w:r>
          </w:p>
        </w:tc>
      </w:tr>
      <w:tr w:rsidR="00E77C63">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18"/>
                <w:szCs w:val="18"/>
              </w:rPr>
              <w:t>2100410</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left"/>
              <w:rPr>
                <w:rFonts w:ascii="宋体" w:eastAsia="宋体" w:hAnsi="宋体" w:cs="宋体"/>
                <w:color w:val="000000"/>
                <w:sz w:val="18"/>
                <w:szCs w:val="18"/>
              </w:rPr>
            </w:pPr>
            <w:r>
              <w:rPr>
                <w:rFonts w:ascii="宋体" w:eastAsia="宋体" w:hAnsi="宋体" w:cs="宋体" w:hint="eastAsia"/>
                <w:color w:val="000000"/>
                <w:sz w:val="22"/>
              </w:rPr>
              <w:t>突发公共卫生事件应急处理</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 w:val="18"/>
                <w:szCs w:val="18"/>
              </w:rPr>
            </w:pPr>
            <w:r>
              <w:rPr>
                <w:rFonts w:ascii="宋体" w:eastAsia="宋体" w:hAnsi="宋体" w:cs="宋体" w:hint="eastAsia"/>
                <w:color w:val="000000"/>
                <w:sz w:val="18"/>
                <w:szCs w:val="18"/>
              </w:rPr>
              <w:t>2</w:t>
            </w:r>
          </w:p>
        </w:tc>
      </w:tr>
    </w:tbl>
    <w:p w:rsidR="00E77C63" w:rsidRDefault="00720BDD">
      <w:r>
        <w:br w:type="page"/>
      </w:r>
    </w:p>
    <w:p w:rsidR="00E77C63" w:rsidRDefault="00E77C63">
      <w:pPr>
        <w:widowControl/>
        <w:jc w:val="center"/>
        <w:textAlignment w:val="center"/>
        <w:rPr>
          <w:rFonts w:ascii="黑体" w:eastAsia="黑体" w:hAnsi="宋体" w:cs="黑体"/>
          <w:color w:val="000000"/>
          <w:kern w:val="0"/>
          <w:sz w:val="28"/>
          <w:szCs w:val="28"/>
          <w:lang/>
        </w:rPr>
        <w:sectPr w:rsidR="00E77C63" w:rsidSect="00203209">
          <w:pgSz w:w="11906" w:h="16838"/>
          <w:pgMar w:top="720" w:right="720" w:bottom="720" w:left="720" w:header="851" w:footer="992" w:gutter="0"/>
          <w:cols w:space="425"/>
          <w:docGrid w:type="lines" w:linePitch="312"/>
        </w:sectPr>
      </w:pPr>
    </w:p>
    <w:tbl>
      <w:tblPr>
        <w:tblW w:w="14076" w:type="dxa"/>
        <w:jc w:val="center"/>
        <w:tblLayout w:type="fixed"/>
        <w:tblCellMar>
          <w:left w:w="0" w:type="dxa"/>
          <w:right w:w="0" w:type="dxa"/>
        </w:tblCellMar>
        <w:tblLook w:val="04A0"/>
      </w:tblPr>
      <w:tblGrid>
        <w:gridCol w:w="1251"/>
        <w:gridCol w:w="2477"/>
        <w:gridCol w:w="1317"/>
        <w:gridCol w:w="913"/>
        <w:gridCol w:w="2463"/>
        <w:gridCol w:w="966"/>
        <w:gridCol w:w="861"/>
        <w:gridCol w:w="3028"/>
        <w:gridCol w:w="800"/>
      </w:tblGrid>
      <w:tr w:rsidR="00E77C63">
        <w:trPr>
          <w:trHeight w:val="404"/>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rsidR="00E77C63" w:rsidRDefault="00720BDD">
            <w:pPr>
              <w:widowControl/>
              <w:spacing w:line="420" w:lineRule="exact"/>
              <w:jc w:val="center"/>
              <w:textAlignment w:val="center"/>
              <w:rPr>
                <w:rFonts w:ascii="黑体" w:eastAsia="黑体" w:hAnsi="宋体" w:cs="黑体"/>
                <w:color w:val="000000"/>
                <w:sz w:val="32"/>
                <w:szCs w:val="32"/>
              </w:rPr>
            </w:pPr>
            <w:r>
              <w:rPr>
                <w:rFonts w:ascii="黑体" w:eastAsia="黑体" w:hAnsi="宋体" w:cs="黑体" w:hint="eastAsia"/>
                <w:color w:val="000000"/>
                <w:kern w:val="0"/>
                <w:sz w:val="28"/>
                <w:szCs w:val="28"/>
                <w:lang/>
              </w:rPr>
              <w:lastRenderedPageBreak/>
              <w:t>一般公共预算财政拨款基本支出决算表</w:t>
            </w:r>
          </w:p>
        </w:tc>
      </w:tr>
      <w:tr w:rsidR="00E77C63">
        <w:trPr>
          <w:trHeight w:val="66"/>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spacing w:line="240" w:lineRule="exact"/>
              <w:jc w:val="right"/>
              <w:textAlignment w:val="bottom"/>
              <w:rPr>
                <w:rFonts w:ascii="宋体" w:eastAsia="宋体" w:hAnsi="宋体" w:cs="宋体"/>
                <w:color w:val="000000"/>
                <w:sz w:val="16"/>
                <w:szCs w:val="16"/>
              </w:rPr>
            </w:pPr>
            <w:r>
              <w:rPr>
                <w:rFonts w:ascii="宋体" w:eastAsia="宋体" w:hAnsi="宋体" w:cs="宋体" w:hint="eastAsia"/>
                <w:color w:val="000000"/>
                <w:kern w:val="0"/>
                <w:sz w:val="16"/>
                <w:szCs w:val="16"/>
                <w:lang/>
              </w:rPr>
              <w:t>公开</w:t>
            </w:r>
            <w:r>
              <w:rPr>
                <w:rFonts w:ascii="宋体" w:eastAsia="宋体" w:hAnsi="宋体" w:cs="宋体" w:hint="eastAsia"/>
                <w:color w:val="000000"/>
                <w:kern w:val="0"/>
                <w:sz w:val="16"/>
                <w:szCs w:val="16"/>
                <w:lang/>
              </w:rPr>
              <w:t>06</w:t>
            </w:r>
            <w:r>
              <w:rPr>
                <w:rFonts w:ascii="宋体" w:eastAsia="宋体" w:hAnsi="宋体" w:cs="宋体" w:hint="eastAsia"/>
                <w:color w:val="000000"/>
                <w:kern w:val="0"/>
                <w:sz w:val="16"/>
                <w:szCs w:val="16"/>
                <w:lang/>
              </w:rPr>
              <w:t>表</w:t>
            </w:r>
          </w:p>
        </w:tc>
      </w:tr>
      <w:tr w:rsidR="00E77C63">
        <w:trPr>
          <w:trHeight w:val="61"/>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spacing w:line="240" w:lineRule="exact"/>
              <w:jc w:val="left"/>
              <w:textAlignment w:val="bottom"/>
              <w:rPr>
                <w:rFonts w:ascii="宋体" w:eastAsia="宋体" w:hAnsi="宋体" w:cs="宋体"/>
                <w:color w:val="000000"/>
                <w:sz w:val="16"/>
                <w:szCs w:val="16"/>
              </w:rPr>
            </w:pPr>
            <w:r>
              <w:rPr>
                <w:rFonts w:ascii="宋体" w:eastAsia="宋体" w:hAnsi="宋体" w:cs="宋体" w:hint="eastAsia"/>
                <w:color w:val="000000"/>
                <w:kern w:val="0"/>
                <w:sz w:val="16"/>
                <w:szCs w:val="16"/>
                <w:lang/>
              </w:rPr>
              <w:t>部门：</w:t>
            </w:r>
          </w:p>
        </w:tc>
        <w:tc>
          <w:tcPr>
            <w:tcW w:w="2477" w:type="dxa"/>
            <w:tcBorders>
              <w:top w:val="nil"/>
              <w:left w:val="nil"/>
              <w:bottom w:val="nil"/>
              <w:right w:val="nil"/>
            </w:tcBorders>
            <w:shd w:val="clear" w:color="auto" w:fill="auto"/>
            <w:tcMar>
              <w:top w:w="15" w:type="dxa"/>
              <w:left w:w="15" w:type="dxa"/>
              <w:right w:w="15" w:type="dxa"/>
            </w:tcMar>
            <w:vAlign w:val="bottom"/>
          </w:tcPr>
          <w:p w:rsidR="00E77C63" w:rsidRDefault="00720BDD">
            <w:pPr>
              <w:spacing w:line="240" w:lineRule="exact"/>
              <w:rPr>
                <w:rFonts w:ascii="Arial" w:hAnsi="Arial" w:cs="Arial"/>
                <w:color w:val="000000"/>
                <w:sz w:val="16"/>
                <w:szCs w:val="16"/>
              </w:rPr>
            </w:pPr>
            <w:r>
              <w:rPr>
                <w:rFonts w:ascii="Arial" w:hAnsi="Arial" w:cs="Arial" w:hint="eastAsia"/>
                <w:color w:val="000000"/>
                <w:sz w:val="18"/>
                <w:szCs w:val="18"/>
              </w:rPr>
              <w:t>张家口市第四医院</w:t>
            </w:r>
          </w:p>
        </w:tc>
        <w:tc>
          <w:tcPr>
            <w:tcW w:w="131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spacing w:line="240" w:lineRule="exact"/>
              <w:jc w:val="right"/>
              <w:textAlignment w:val="bottom"/>
              <w:rPr>
                <w:rFonts w:ascii="宋体" w:eastAsia="宋体" w:hAnsi="宋体" w:cs="宋体"/>
                <w:color w:val="000000"/>
                <w:sz w:val="16"/>
                <w:szCs w:val="16"/>
              </w:rPr>
            </w:pPr>
            <w:r>
              <w:rPr>
                <w:rFonts w:ascii="宋体" w:eastAsia="宋体" w:hAnsi="宋体" w:cs="宋体" w:hint="eastAsia"/>
                <w:color w:val="000000"/>
                <w:kern w:val="0"/>
                <w:sz w:val="16"/>
                <w:szCs w:val="16"/>
                <w:lang/>
              </w:rPr>
              <w:t>金额单位：万元</w:t>
            </w:r>
          </w:p>
        </w:tc>
      </w:tr>
      <w:tr w:rsidR="00E77C63">
        <w:trPr>
          <w:trHeight w:val="242"/>
          <w:jc w:val="center"/>
        </w:trPr>
        <w:tc>
          <w:tcPr>
            <w:tcW w:w="504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人员经费</w:t>
            </w:r>
          </w:p>
        </w:tc>
        <w:tc>
          <w:tcPr>
            <w:tcW w:w="9031"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公用经费</w:t>
            </w:r>
          </w:p>
        </w:tc>
      </w:tr>
      <w:tr w:rsidR="00E77C63">
        <w:trPr>
          <w:trHeight w:val="240"/>
          <w:jc w:val="center"/>
        </w:trPr>
        <w:tc>
          <w:tcPr>
            <w:tcW w:w="1251"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科目编码</w:t>
            </w:r>
          </w:p>
        </w:tc>
        <w:tc>
          <w:tcPr>
            <w:tcW w:w="2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科目名称</w:t>
            </w:r>
          </w:p>
        </w:tc>
        <w:tc>
          <w:tcPr>
            <w:tcW w:w="131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决算数</w:t>
            </w:r>
          </w:p>
        </w:tc>
        <w:tc>
          <w:tcPr>
            <w:tcW w:w="91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科目编码</w:t>
            </w:r>
          </w:p>
        </w:tc>
        <w:tc>
          <w:tcPr>
            <w:tcW w:w="24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科目名称</w:t>
            </w:r>
          </w:p>
        </w:tc>
        <w:tc>
          <w:tcPr>
            <w:tcW w:w="96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决算数</w:t>
            </w:r>
          </w:p>
        </w:tc>
        <w:tc>
          <w:tcPr>
            <w:tcW w:w="86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科目编码</w:t>
            </w:r>
          </w:p>
        </w:tc>
        <w:tc>
          <w:tcPr>
            <w:tcW w:w="302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科目名称</w:t>
            </w:r>
          </w:p>
        </w:tc>
        <w:tc>
          <w:tcPr>
            <w:tcW w:w="80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lang/>
              </w:rPr>
              <w:t>决算数</w:t>
            </w:r>
          </w:p>
        </w:tc>
      </w:tr>
      <w:tr w:rsidR="00E77C63">
        <w:trPr>
          <w:trHeight w:val="312"/>
          <w:jc w:val="center"/>
        </w:trPr>
        <w:tc>
          <w:tcPr>
            <w:tcW w:w="1251"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6"/>
                <w:szCs w:val="16"/>
              </w:rPr>
            </w:pPr>
          </w:p>
        </w:tc>
        <w:tc>
          <w:tcPr>
            <w:tcW w:w="2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6"/>
                <w:szCs w:val="16"/>
              </w:rPr>
            </w:pPr>
          </w:p>
        </w:tc>
        <w:tc>
          <w:tcPr>
            <w:tcW w:w="131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6"/>
                <w:szCs w:val="16"/>
              </w:rPr>
            </w:pPr>
          </w:p>
        </w:tc>
        <w:tc>
          <w:tcPr>
            <w:tcW w:w="91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6"/>
                <w:szCs w:val="16"/>
              </w:rPr>
            </w:pPr>
          </w:p>
        </w:tc>
        <w:tc>
          <w:tcPr>
            <w:tcW w:w="24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6"/>
                <w:szCs w:val="16"/>
              </w:rPr>
            </w:pPr>
          </w:p>
        </w:tc>
        <w:tc>
          <w:tcPr>
            <w:tcW w:w="96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6"/>
                <w:szCs w:val="16"/>
              </w:rPr>
            </w:pPr>
          </w:p>
        </w:tc>
        <w:tc>
          <w:tcPr>
            <w:tcW w:w="86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6"/>
                <w:szCs w:val="16"/>
              </w:rPr>
            </w:pPr>
          </w:p>
        </w:tc>
        <w:tc>
          <w:tcPr>
            <w:tcW w:w="302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6"/>
                <w:szCs w:val="16"/>
              </w:rPr>
            </w:pPr>
          </w:p>
        </w:tc>
        <w:tc>
          <w:tcPr>
            <w:tcW w:w="80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工资福利支出</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973.68</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商品和服务支出</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债务利息及费用支出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基本工资</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729.00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30201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办公费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30701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国内债务付息</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30102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津贴补贴</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30202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印刷费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30702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国外债务付息</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奖金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244.68</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30203</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咨询费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资本性支出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30106</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伙食补助费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30204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手续费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31001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房屋建筑物购建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30107</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绩效工资</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30205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水费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31002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办公设备购置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30108</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机关事业单位基本养老保险缴费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30206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电费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31003</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专用设备购置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30109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职业年金缴费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30207</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邮电费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31005</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基础设施建设</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30110</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职工基本医疗保险缴费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30208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取暖费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31006</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大型修缮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30111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公务员医疗补助缴费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30209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物业管理费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信息网络及软件购置更新</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30112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其他社会保障缴费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30211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差旅费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31008</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物资储备</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30113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住房公积金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30212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因公出国（境）费用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31009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土地补偿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30114</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医疗费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30213</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维修（护）费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31010</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安置补助</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30199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其他工资福利支出</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30214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租赁费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31011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地上附着物和青苗补偿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对个人和家庭的补助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1.92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30215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会议费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31012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拆迁补偿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离休费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1.92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30216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培训费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31013</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公务用车购置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30302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退休费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公务接待费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31019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其他交通工具购置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退职（役）费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30218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专用材料费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31021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文物和陈列品购置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30304</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抚恤金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30224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被装购置费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31022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无形资产购置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30305</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生活补助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30225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专用燃料费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31099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其他资本性支出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30306</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救济费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30226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劳务费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其他支出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30307</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医疗费补助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30227</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委托业务费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39906</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赠与</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30308</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助学金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30228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工会经费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39907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国家赔偿费用支出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30309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奖励金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30229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福利费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39908</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5"/>
                <w:szCs w:val="15"/>
                <w:lang/>
              </w:rPr>
              <w:t>对民间非营利组织和群众性自治组织补贴</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30310</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个人农业生产补贴</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30231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公务用车运行维护费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39999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其他支出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30399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其他对个人和家庭的补助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30239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其他交通费用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30240</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税金及附加费用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30299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 xml:space="preserve">  </w:t>
            </w:r>
            <w:r>
              <w:rPr>
                <w:rFonts w:ascii="宋体" w:eastAsia="宋体" w:hAnsi="宋体" w:cs="宋体" w:hint="eastAsia"/>
                <w:color w:val="000000"/>
                <w:kern w:val="0"/>
                <w:sz w:val="16"/>
                <w:szCs w:val="16"/>
                <w:lang/>
              </w:rPr>
              <w:t>其他商品和服务支出</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spacing w:line="220" w:lineRule="exact"/>
              <w:jc w:val="left"/>
              <w:rPr>
                <w:rFonts w:ascii="宋体" w:eastAsia="宋体" w:hAnsi="宋体" w:cs="宋体"/>
                <w:color w:val="000000"/>
                <w:sz w:val="16"/>
                <w:szCs w:val="16"/>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r w:rsidR="00E77C63">
        <w:trPr>
          <w:trHeight w:val="177"/>
          <w:jc w:val="center"/>
        </w:trPr>
        <w:tc>
          <w:tcPr>
            <w:tcW w:w="372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人员经费合计</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975.60</w:t>
            </w:r>
          </w:p>
        </w:tc>
        <w:tc>
          <w:tcPr>
            <w:tcW w:w="823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spacing w:line="220" w:lineRule="exact"/>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公用经费合计</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spacing w:line="180" w:lineRule="exact"/>
              <w:jc w:val="right"/>
              <w:rPr>
                <w:rFonts w:ascii="宋体" w:eastAsia="宋体" w:hAnsi="宋体" w:cs="宋体"/>
                <w:color w:val="000000"/>
                <w:sz w:val="16"/>
                <w:szCs w:val="16"/>
              </w:rPr>
            </w:pPr>
          </w:p>
        </w:tc>
      </w:tr>
    </w:tbl>
    <w:p w:rsidR="00E77C63" w:rsidRDefault="00E77C63">
      <w:pPr>
        <w:widowControl/>
        <w:jc w:val="center"/>
        <w:textAlignment w:val="center"/>
        <w:sectPr w:rsidR="00E77C63">
          <w:pgSz w:w="16838" w:h="11906" w:orient="landscape"/>
          <w:pgMar w:top="1531" w:right="2098" w:bottom="1531" w:left="1984" w:header="851" w:footer="992" w:gutter="0"/>
          <w:cols w:space="425"/>
          <w:docGrid w:type="lines" w:linePitch="312"/>
        </w:sectPr>
      </w:pPr>
    </w:p>
    <w:tbl>
      <w:tblPr>
        <w:tblW w:w="9220" w:type="dxa"/>
        <w:jc w:val="center"/>
        <w:tblLayout w:type="fixed"/>
        <w:tblCellMar>
          <w:left w:w="0" w:type="dxa"/>
          <w:right w:w="0" w:type="dxa"/>
        </w:tblCellMar>
        <w:tblLook w:val="04A0"/>
      </w:tblPr>
      <w:tblGrid>
        <w:gridCol w:w="2129"/>
        <w:gridCol w:w="824"/>
        <w:gridCol w:w="1565"/>
        <w:gridCol w:w="1565"/>
        <w:gridCol w:w="1565"/>
        <w:gridCol w:w="1572"/>
      </w:tblGrid>
      <w:tr w:rsidR="00E77C63">
        <w:trPr>
          <w:trHeight w:val="638"/>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宋体" w:cs="黑体"/>
                <w:color w:val="000000"/>
                <w:sz w:val="28"/>
                <w:szCs w:val="28"/>
              </w:rPr>
            </w:pPr>
            <w:r>
              <w:rPr>
                <w:sz w:val="28"/>
                <w:szCs w:val="28"/>
              </w:rPr>
              <w:lastRenderedPageBreak/>
              <w:br w:type="page"/>
            </w:r>
            <w:r>
              <w:rPr>
                <w:rFonts w:ascii="黑体" w:eastAsia="黑体" w:hAnsi="宋体" w:cs="黑体" w:hint="eastAsia"/>
                <w:color w:val="000000"/>
                <w:kern w:val="0"/>
                <w:sz w:val="28"/>
                <w:szCs w:val="28"/>
                <w:lang/>
              </w:rPr>
              <w:t>一般公共预算财政拨款“三公”经费支出决算表</w:t>
            </w:r>
          </w:p>
        </w:tc>
      </w:tr>
      <w:tr w:rsidR="00E77C63">
        <w:trPr>
          <w:trHeight w:val="360"/>
          <w:jc w:val="center"/>
        </w:trPr>
        <w:tc>
          <w:tcPr>
            <w:tcW w:w="212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824"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公开</w:t>
            </w:r>
            <w:r>
              <w:rPr>
                <w:rFonts w:ascii="宋体" w:eastAsia="宋体" w:hAnsi="宋体" w:cs="宋体" w:hint="eastAsia"/>
                <w:color w:val="000000"/>
                <w:kern w:val="0"/>
                <w:sz w:val="18"/>
                <w:szCs w:val="18"/>
                <w:lang/>
              </w:rPr>
              <w:t>07</w:t>
            </w:r>
            <w:r>
              <w:rPr>
                <w:rFonts w:ascii="宋体" w:eastAsia="宋体" w:hAnsi="宋体" w:cs="宋体" w:hint="eastAsia"/>
                <w:color w:val="000000"/>
                <w:kern w:val="0"/>
                <w:sz w:val="18"/>
                <w:szCs w:val="18"/>
                <w:lang/>
              </w:rPr>
              <w:t>表</w:t>
            </w:r>
          </w:p>
        </w:tc>
      </w:tr>
      <w:tr w:rsidR="00E77C63">
        <w:trPr>
          <w:trHeight w:val="360"/>
          <w:jc w:val="center"/>
        </w:trPr>
        <w:tc>
          <w:tcPr>
            <w:tcW w:w="2129"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部门：</w:t>
            </w:r>
            <w:r>
              <w:rPr>
                <w:rFonts w:ascii="宋体" w:eastAsia="宋体" w:hAnsi="宋体" w:cs="宋体" w:hint="eastAsia"/>
                <w:color w:val="000000"/>
                <w:kern w:val="0"/>
                <w:sz w:val="18"/>
                <w:szCs w:val="18"/>
                <w:lang/>
              </w:rPr>
              <w:t>张家口市第四医院</w:t>
            </w:r>
          </w:p>
        </w:tc>
        <w:tc>
          <w:tcPr>
            <w:tcW w:w="824"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金额单位：万元</w:t>
            </w:r>
          </w:p>
        </w:tc>
      </w:tr>
      <w:tr w:rsidR="00E77C63">
        <w:trPr>
          <w:trHeight w:val="417"/>
          <w:jc w:val="center"/>
        </w:trPr>
        <w:tc>
          <w:tcPr>
            <w:tcW w:w="9220" w:type="dxa"/>
            <w:gridSpan w:val="6"/>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预算数</w:t>
            </w:r>
          </w:p>
        </w:tc>
      </w:tr>
      <w:tr w:rsidR="00E77C63">
        <w:trPr>
          <w:trHeight w:val="417"/>
          <w:jc w:val="center"/>
        </w:trPr>
        <w:tc>
          <w:tcPr>
            <w:tcW w:w="2129"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合计</w:t>
            </w:r>
          </w:p>
        </w:tc>
        <w:tc>
          <w:tcPr>
            <w:tcW w:w="824"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 w:val="20"/>
                <w:szCs w:val="21"/>
                <w:lang/>
              </w:rPr>
              <w:t>公务接待费</w:t>
            </w:r>
          </w:p>
        </w:tc>
      </w:tr>
      <w:tr w:rsidR="00E77C63">
        <w:trPr>
          <w:trHeight w:val="417"/>
          <w:jc w:val="center"/>
        </w:trPr>
        <w:tc>
          <w:tcPr>
            <w:tcW w:w="2129"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Cs w:val="22"/>
              </w:rPr>
            </w:pPr>
          </w:p>
        </w:tc>
        <w:tc>
          <w:tcPr>
            <w:tcW w:w="824"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Cs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E77C63" w:rsidRDefault="00E77C63">
            <w:pPr>
              <w:jc w:val="center"/>
              <w:rPr>
                <w:rFonts w:ascii="黑体" w:eastAsia="黑体" w:hAnsi="黑体" w:cs="宋体"/>
                <w:color w:val="000000"/>
                <w:szCs w:val="22"/>
              </w:rPr>
            </w:pPr>
          </w:p>
        </w:tc>
      </w:tr>
      <w:tr w:rsidR="00E77C63">
        <w:trPr>
          <w:trHeight w:val="417"/>
          <w:jc w:val="center"/>
        </w:trPr>
        <w:tc>
          <w:tcPr>
            <w:tcW w:w="2129"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1</w:t>
            </w:r>
          </w:p>
        </w:tc>
        <w:tc>
          <w:tcPr>
            <w:tcW w:w="82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2</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3</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4</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5</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6</w:t>
            </w:r>
          </w:p>
        </w:tc>
      </w:tr>
      <w:tr w:rsidR="00E77C63">
        <w:trPr>
          <w:trHeight w:val="417"/>
          <w:jc w:val="center"/>
        </w:trPr>
        <w:tc>
          <w:tcPr>
            <w:tcW w:w="2129" w:type="dxa"/>
            <w:tcBorders>
              <w:top w:val="nil"/>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Cs w:val="22"/>
              </w:rPr>
            </w:pPr>
            <w:r>
              <w:rPr>
                <w:rFonts w:ascii="宋体" w:eastAsia="宋体" w:hAnsi="宋体" w:cs="宋体" w:hint="eastAsia"/>
                <w:color w:val="000000"/>
                <w:szCs w:val="22"/>
              </w:rPr>
              <w:t>12</w:t>
            </w: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Cs w:val="22"/>
              </w:rPr>
            </w:pPr>
            <w:r>
              <w:rPr>
                <w:rFonts w:ascii="宋体" w:eastAsia="宋体" w:hAnsi="宋体" w:cs="宋体" w:hint="eastAsia"/>
                <w:color w:val="000000"/>
                <w:szCs w:val="22"/>
              </w:rPr>
              <w:t>10</w:t>
            </w:r>
          </w:p>
        </w:tc>
        <w:tc>
          <w:tcPr>
            <w:tcW w:w="1572" w:type="dxa"/>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E77C63" w:rsidRDefault="00720BDD">
            <w:pPr>
              <w:jc w:val="right"/>
              <w:rPr>
                <w:rFonts w:ascii="宋体" w:eastAsia="宋体" w:hAnsi="宋体" w:cs="宋体"/>
                <w:color w:val="000000"/>
                <w:szCs w:val="22"/>
              </w:rPr>
            </w:pPr>
            <w:r>
              <w:rPr>
                <w:rFonts w:ascii="宋体" w:eastAsia="宋体" w:hAnsi="宋体" w:cs="宋体" w:hint="eastAsia"/>
                <w:color w:val="000000"/>
                <w:szCs w:val="22"/>
              </w:rPr>
              <w:t>2</w:t>
            </w:r>
          </w:p>
        </w:tc>
      </w:tr>
      <w:tr w:rsidR="00E77C63">
        <w:trPr>
          <w:trHeight w:val="417"/>
          <w:jc w:val="center"/>
        </w:trPr>
        <w:tc>
          <w:tcPr>
            <w:tcW w:w="9220" w:type="dxa"/>
            <w:gridSpan w:val="6"/>
            <w:tcBorders>
              <w:top w:val="single" w:sz="4" w:space="0" w:color="000000"/>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决算数</w:t>
            </w:r>
          </w:p>
        </w:tc>
      </w:tr>
      <w:tr w:rsidR="00E77C63">
        <w:trPr>
          <w:trHeight w:val="417"/>
          <w:jc w:val="center"/>
        </w:trPr>
        <w:tc>
          <w:tcPr>
            <w:tcW w:w="2129"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合计</w:t>
            </w:r>
          </w:p>
        </w:tc>
        <w:tc>
          <w:tcPr>
            <w:tcW w:w="824"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公务接待费</w:t>
            </w:r>
          </w:p>
        </w:tc>
      </w:tr>
      <w:tr w:rsidR="00E77C63">
        <w:trPr>
          <w:trHeight w:val="417"/>
          <w:jc w:val="center"/>
        </w:trPr>
        <w:tc>
          <w:tcPr>
            <w:tcW w:w="2129"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824"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lang/>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lang/>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lang/>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r>
      <w:tr w:rsidR="00E77C63">
        <w:trPr>
          <w:trHeight w:val="417"/>
          <w:jc w:val="center"/>
        </w:trPr>
        <w:tc>
          <w:tcPr>
            <w:tcW w:w="2129"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7</w:t>
            </w:r>
          </w:p>
        </w:tc>
        <w:tc>
          <w:tcPr>
            <w:tcW w:w="82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8</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9</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10</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11</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12</w:t>
            </w:r>
          </w:p>
        </w:tc>
      </w:tr>
      <w:tr w:rsidR="00E77C63">
        <w:trPr>
          <w:trHeight w:val="447"/>
          <w:jc w:val="center"/>
        </w:trPr>
        <w:tc>
          <w:tcPr>
            <w:tcW w:w="2129" w:type="dxa"/>
            <w:tcBorders>
              <w:top w:val="nil"/>
              <w:left w:val="single" w:sz="4" w:space="0" w:color="auto"/>
              <w:bottom w:val="single" w:sz="4" w:space="0" w:color="auto"/>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824"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572"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r>
    </w:tbl>
    <w:p w:rsidR="00E77C63" w:rsidRDefault="00720BDD">
      <w:pPr>
        <w:rPr>
          <w:rFonts w:ascii="仿宋_GB2312" w:eastAsia="仿宋_GB2312" w:hAnsi="仿宋_GB2312" w:cs="仿宋_GB2312"/>
          <w:sz w:val="20"/>
          <w:szCs w:val="22"/>
        </w:rPr>
      </w:pPr>
      <w:r>
        <w:rPr>
          <w:rFonts w:ascii="宋体" w:eastAsia="宋体" w:hAnsi="宋体" w:cs="宋体" w:hint="eastAsia"/>
          <w:sz w:val="20"/>
          <w:szCs w:val="22"/>
        </w:rPr>
        <w:t>注：本表反映部门本年度“三公”经费支出预决算情况。其中：预算数为“三公”经费</w:t>
      </w:r>
      <w:r>
        <w:rPr>
          <w:rFonts w:ascii="宋体" w:eastAsia="宋体" w:hAnsi="宋体" w:cs="宋体" w:hint="eastAsia"/>
          <w:b/>
          <w:sz w:val="20"/>
          <w:szCs w:val="22"/>
        </w:rPr>
        <w:t>全年预算数</w:t>
      </w:r>
      <w:r>
        <w:rPr>
          <w:rFonts w:ascii="宋体" w:eastAsia="宋体" w:hAnsi="宋体" w:cs="宋体" w:hint="eastAsia"/>
          <w:sz w:val="20"/>
          <w:szCs w:val="22"/>
        </w:rPr>
        <w:t>，反映按规定程序调整后的预算数；决算数是包括当年一般公共预算财政拨款和以前年度结转资金安排的实际支出。</w:t>
      </w:r>
      <w:r>
        <w:rPr>
          <w:rFonts w:ascii="仿宋_GB2312" w:eastAsia="仿宋_GB2312" w:hAnsi="仿宋_GB2312" w:cs="仿宋_GB2312" w:hint="eastAsia"/>
          <w:sz w:val="20"/>
          <w:szCs w:val="22"/>
        </w:rPr>
        <w:tab/>
      </w:r>
    </w:p>
    <w:p w:rsidR="00E77C63" w:rsidRDefault="00720BDD">
      <w:r>
        <w:rPr>
          <w:sz w:val="20"/>
          <w:szCs w:val="22"/>
        </w:rPr>
        <w:tab/>
      </w:r>
      <w:r>
        <w:tab/>
      </w:r>
      <w:r>
        <w:tab/>
      </w:r>
      <w:r>
        <w:tab/>
      </w:r>
      <w:r>
        <w:tab/>
      </w:r>
      <w:r>
        <w:tab/>
      </w:r>
      <w:r>
        <w:tab/>
      </w:r>
      <w:r>
        <w:tab/>
      </w:r>
      <w:r>
        <w:tab/>
      </w:r>
      <w:r>
        <w:tab/>
      </w:r>
      <w:r>
        <w:br w:type="page"/>
      </w:r>
    </w:p>
    <w:tbl>
      <w:tblPr>
        <w:tblW w:w="9510" w:type="dxa"/>
        <w:jc w:val="center"/>
        <w:tblLayout w:type="fixed"/>
        <w:tblCellMar>
          <w:left w:w="0" w:type="dxa"/>
          <w:right w:w="0" w:type="dxa"/>
        </w:tblCellMar>
        <w:tblLook w:val="04A0"/>
      </w:tblPr>
      <w:tblGrid>
        <w:gridCol w:w="787"/>
        <w:gridCol w:w="240"/>
        <w:gridCol w:w="1510"/>
        <w:gridCol w:w="300"/>
        <w:gridCol w:w="827"/>
        <w:gridCol w:w="1169"/>
        <w:gridCol w:w="1169"/>
        <w:gridCol w:w="1169"/>
        <w:gridCol w:w="1169"/>
        <w:gridCol w:w="1170"/>
      </w:tblGrid>
      <w:tr w:rsidR="00E77C63">
        <w:trPr>
          <w:trHeight w:val="780"/>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lang/>
              </w:rPr>
              <w:lastRenderedPageBreak/>
              <w:t>政府性基金预算财政拨款收入支出决算表</w:t>
            </w:r>
          </w:p>
        </w:tc>
      </w:tr>
      <w:tr w:rsidR="00E77C63">
        <w:trPr>
          <w:trHeight w:val="255"/>
          <w:jc w:val="center"/>
        </w:trPr>
        <w:tc>
          <w:tcPr>
            <w:tcW w:w="78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10"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300"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82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2339" w:type="dxa"/>
            <w:gridSpan w:val="2"/>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公开</w:t>
            </w:r>
            <w:r>
              <w:rPr>
                <w:rFonts w:ascii="宋体" w:eastAsia="宋体" w:hAnsi="宋体" w:cs="宋体" w:hint="eastAsia"/>
                <w:color w:val="000000"/>
                <w:kern w:val="0"/>
                <w:sz w:val="18"/>
                <w:szCs w:val="18"/>
                <w:lang/>
              </w:rPr>
              <w:t>08</w:t>
            </w:r>
            <w:r>
              <w:rPr>
                <w:rFonts w:ascii="宋体" w:eastAsia="宋体" w:hAnsi="宋体" w:cs="宋体" w:hint="eastAsia"/>
                <w:color w:val="000000"/>
                <w:kern w:val="0"/>
                <w:sz w:val="18"/>
                <w:szCs w:val="18"/>
                <w:lang/>
              </w:rPr>
              <w:t>表</w:t>
            </w:r>
          </w:p>
        </w:tc>
      </w:tr>
      <w:tr w:rsidR="00E77C63">
        <w:trPr>
          <w:trHeight w:val="497"/>
          <w:jc w:val="center"/>
        </w:trPr>
        <w:tc>
          <w:tcPr>
            <w:tcW w:w="787"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部门：</w:t>
            </w:r>
          </w:p>
        </w:tc>
        <w:tc>
          <w:tcPr>
            <w:tcW w:w="240"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510" w:type="dxa"/>
            <w:tcBorders>
              <w:top w:val="nil"/>
              <w:left w:val="nil"/>
              <w:bottom w:val="nil"/>
              <w:right w:val="nil"/>
            </w:tcBorders>
            <w:shd w:val="clear" w:color="auto" w:fill="auto"/>
            <w:noWrap/>
            <w:tcMar>
              <w:top w:w="15" w:type="dxa"/>
              <w:left w:w="15" w:type="dxa"/>
              <w:right w:w="15" w:type="dxa"/>
            </w:tcMar>
            <w:vAlign w:val="bottom"/>
          </w:tcPr>
          <w:p w:rsidR="00E77C63" w:rsidRDefault="00720BDD">
            <w:pPr>
              <w:spacing w:line="240" w:lineRule="exact"/>
              <w:rPr>
                <w:rFonts w:ascii="Arial" w:hAnsi="Arial" w:cs="Arial"/>
                <w:color w:val="000000"/>
                <w:sz w:val="18"/>
                <w:szCs w:val="18"/>
              </w:rPr>
            </w:pPr>
            <w:r>
              <w:rPr>
                <w:rFonts w:ascii="Arial" w:hAnsi="Arial" w:cs="Arial" w:hint="eastAsia"/>
                <w:color w:val="000000"/>
                <w:sz w:val="18"/>
                <w:szCs w:val="18"/>
              </w:rPr>
              <w:t>张家口市第四医院</w:t>
            </w:r>
          </w:p>
        </w:tc>
        <w:tc>
          <w:tcPr>
            <w:tcW w:w="300"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82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E77C63" w:rsidRDefault="00E77C63">
            <w:pPr>
              <w:spacing w:line="240" w:lineRule="exact"/>
              <w:rPr>
                <w:rFonts w:ascii="Arial" w:hAnsi="Arial" w:cs="Arial"/>
                <w:color w:val="000000"/>
                <w:sz w:val="18"/>
                <w:szCs w:val="18"/>
              </w:rPr>
            </w:pPr>
          </w:p>
        </w:tc>
        <w:tc>
          <w:tcPr>
            <w:tcW w:w="2339" w:type="dxa"/>
            <w:gridSpan w:val="2"/>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金额单位：万元</w:t>
            </w:r>
          </w:p>
        </w:tc>
      </w:tr>
      <w:tr w:rsidR="00E77C63">
        <w:trPr>
          <w:trHeight w:val="308"/>
          <w:jc w:val="center"/>
        </w:trPr>
        <w:tc>
          <w:tcPr>
            <w:tcW w:w="283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项目</w:t>
            </w:r>
          </w:p>
        </w:tc>
        <w:tc>
          <w:tcPr>
            <w:tcW w:w="827"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年初结转和结余</w:t>
            </w:r>
          </w:p>
        </w:tc>
        <w:tc>
          <w:tcPr>
            <w:tcW w:w="116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本年收入</w:t>
            </w:r>
          </w:p>
        </w:tc>
        <w:tc>
          <w:tcPr>
            <w:tcW w:w="350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本年支出</w:t>
            </w:r>
          </w:p>
        </w:tc>
        <w:tc>
          <w:tcPr>
            <w:tcW w:w="117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年末结转和结余</w:t>
            </w:r>
          </w:p>
        </w:tc>
      </w:tr>
      <w:tr w:rsidR="00E77C63">
        <w:trPr>
          <w:trHeight w:val="312"/>
          <w:jc w:val="center"/>
        </w:trPr>
        <w:tc>
          <w:tcPr>
            <w:tcW w:w="2537"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功能分类科目编码</w:t>
            </w:r>
          </w:p>
        </w:tc>
        <w:tc>
          <w:tcPr>
            <w:tcW w:w="300"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科目名称</w:t>
            </w:r>
          </w:p>
        </w:tc>
        <w:tc>
          <w:tcPr>
            <w:tcW w:w="827"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小计</w:t>
            </w:r>
          </w:p>
        </w:tc>
        <w:tc>
          <w:tcPr>
            <w:tcW w:w="116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基本支出</w:t>
            </w:r>
          </w:p>
        </w:tc>
        <w:tc>
          <w:tcPr>
            <w:tcW w:w="116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项目支出</w:t>
            </w:r>
          </w:p>
        </w:tc>
        <w:tc>
          <w:tcPr>
            <w:tcW w:w="11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r>
      <w:tr w:rsidR="00E77C63">
        <w:trPr>
          <w:trHeight w:val="312"/>
          <w:jc w:val="center"/>
        </w:trPr>
        <w:tc>
          <w:tcPr>
            <w:tcW w:w="2537"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300"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827"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r>
      <w:tr w:rsidR="00E77C63">
        <w:trPr>
          <w:trHeight w:val="312"/>
          <w:jc w:val="center"/>
        </w:trPr>
        <w:tc>
          <w:tcPr>
            <w:tcW w:w="2537"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300"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827"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c>
          <w:tcPr>
            <w:tcW w:w="11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center"/>
              <w:rPr>
                <w:rFonts w:ascii="宋体" w:eastAsia="宋体" w:hAnsi="宋体" w:cs="宋体"/>
                <w:color w:val="000000"/>
                <w:szCs w:val="22"/>
              </w:rPr>
            </w:pPr>
          </w:p>
        </w:tc>
      </w:tr>
      <w:tr w:rsidR="00E77C63">
        <w:trPr>
          <w:trHeight w:val="308"/>
          <w:jc w:val="center"/>
        </w:trPr>
        <w:tc>
          <w:tcPr>
            <w:tcW w:w="2837"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栏次</w:t>
            </w:r>
          </w:p>
        </w:tc>
        <w:tc>
          <w:tcPr>
            <w:tcW w:w="8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1</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2</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3</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4</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5</w:t>
            </w: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6</w:t>
            </w:r>
          </w:p>
        </w:tc>
      </w:tr>
      <w:tr w:rsidR="00E77C63">
        <w:trPr>
          <w:trHeight w:val="308"/>
          <w:jc w:val="center"/>
        </w:trPr>
        <w:tc>
          <w:tcPr>
            <w:tcW w:w="2837"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lang/>
              </w:rPr>
              <w:t>合计</w:t>
            </w:r>
          </w:p>
        </w:tc>
        <w:tc>
          <w:tcPr>
            <w:tcW w:w="8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b/>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b/>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b/>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b/>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b/>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b/>
                <w:color w:val="000000"/>
                <w:szCs w:val="22"/>
              </w:rPr>
            </w:pPr>
          </w:p>
        </w:tc>
      </w:tr>
      <w:tr w:rsidR="00E77C63">
        <w:trPr>
          <w:trHeight w:val="308"/>
          <w:jc w:val="center"/>
        </w:trPr>
        <w:tc>
          <w:tcPr>
            <w:tcW w:w="2537"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3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8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r>
      <w:tr w:rsidR="00E77C63">
        <w:trPr>
          <w:trHeight w:val="308"/>
          <w:jc w:val="center"/>
        </w:trPr>
        <w:tc>
          <w:tcPr>
            <w:tcW w:w="2537"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3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8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r>
      <w:tr w:rsidR="00E77C63">
        <w:trPr>
          <w:trHeight w:val="308"/>
          <w:jc w:val="center"/>
        </w:trPr>
        <w:tc>
          <w:tcPr>
            <w:tcW w:w="2537"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3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8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r>
      <w:tr w:rsidR="00E77C63">
        <w:trPr>
          <w:trHeight w:val="308"/>
          <w:jc w:val="center"/>
        </w:trPr>
        <w:tc>
          <w:tcPr>
            <w:tcW w:w="2537"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3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8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r>
      <w:tr w:rsidR="00E77C63">
        <w:trPr>
          <w:trHeight w:val="308"/>
          <w:jc w:val="center"/>
        </w:trPr>
        <w:tc>
          <w:tcPr>
            <w:tcW w:w="2537"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3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Cs w:val="22"/>
              </w:rPr>
            </w:pPr>
          </w:p>
        </w:tc>
        <w:tc>
          <w:tcPr>
            <w:tcW w:w="82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Cs w:val="22"/>
              </w:rPr>
            </w:pPr>
          </w:p>
        </w:tc>
      </w:tr>
    </w:tbl>
    <w:p w:rsidR="00E77C63" w:rsidRDefault="00720BDD">
      <w:pPr>
        <w:rPr>
          <w:b/>
          <w:sz w:val="20"/>
          <w:szCs w:val="22"/>
          <w:highlight w:val="yellow"/>
        </w:rPr>
      </w:pPr>
      <w:r>
        <w:rPr>
          <w:rFonts w:ascii="宋体" w:eastAsia="宋体" w:hAnsi="宋体" w:cs="宋体" w:hint="eastAsia"/>
          <w:sz w:val="20"/>
          <w:szCs w:val="22"/>
        </w:rPr>
        <w:t>注：本部门本年度无相关收入（或支出、收支及结转结余等）情况，按要求空表列示。</w:t>
      </w:r>
      <w:r>
        <w:rPr>
          <w:rFonts w:ascii="宋体" w:eastAsia="宋体" w:hAnsi="宋体" w:cs="宋体" w:hint="eastAsia"/>
          <w:sz w:val="20"/>
          <w:szCs w:val="22"/>
        </w:rPr>
        <w:br w:type="page"/>
      </w:r>
    </w:p>
    <w:tbl>
      <w:tblPr>
        <w:tblW w:w="8581" w:type="dxa"/>
        <w:tblLayout w:type="fixed"/>
        <w:tblCellMar>
          <w:left w:w="0" w:type="dxa"/>
          <w:right w:w="0" w:type="dxa"/>
        </w:tblCellMar>
        <w:tblLook w:val="04A0"/>
      </w:tblPr>
      <w:tblGrid>
        <w:gridCol w:w="630"/>
        <w:gridCol w:w="661"/>
        <w:gridCol w:w="177"/>
        <w:gridCol w:w="2780"/>
        <w:gridCol w:w="1138"/>
        <w:gridCol w:w="296"/>
        <w:gridCol w:w="1421"/>
        <w:gridCol w:w="1417"/>
        <w:gridCol w:w="61"/>
      </w:tblGrid>
      <w:tr w:rsidR="00E77C63">
        <w:trPr>
          <w:gridAfter w:val="1"/>
          <w:wAfter w:w="61" w:type="dxa"/>
          <w:trHeight w:val="824"/>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lang/>
              </w:rPr>
              <w:lastRenderedPageBreak/>
              <w:t>国有资本经营预算财政拨款支出决算表</w:t>
            </w:r>
          </w:p>
        </w:tc>
      </w:tr>
      <w:tr w:rsidR="00E77C63">
        <w:trPr>
          <w:trHeight w:val="250"/>
        </w:trPr>
        <w:tc>
          <w:tcPr>
            <w:tcW w:w="630"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3195" w:type="dxa"/>
            <w:gridSpan w:val="4"/>
            <w:vMerge w:val="restart"/>
            <w:tcBorders>
              <w:top w:val="nil"/>
              <w:left w:val="nil"/>
              <w:right w:val="nil"/>
            </w:tcBorders>
            <w:shd w:val="clear" w:color="auto" w:fill="auto"/>
            <w:noWrap/>
            <w:tcMar>
              <w:top w:w="15" w:type="dxa"/>
              <w:left w:w="15" w:type="dxa"/>
              <w:right w:w="15" w:type="dxa"/>
            </w:tcMar>
            <w:vAlign w:val="bottom"/>
          </w:tcPr>
          <w:p w:rsidR="00E77C63" w:rsidRDefault="00720BDD">
            <w:pPr>
              <w:widowControl/>
              <w:ind w:firstLineChars="900" w:firstLine="1800"/>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rPr>
              <w:t>公开</w:t>
            </w:r>
            <w:r>
              <w:rPr>
                <w:rFonts w:ascii="宋体" w:eastAsia="宋体" w:hAnsi="宋体" w:cs="宋体" w:hint="eastAsia"/>
                <w:color w:val="000000"/>
                <w:kern w:val="0"/>
                <w:sz w:val="20"/>
                <w:szCs w:val="20"/>
                <w:lang/>
              </w:rPr>
              <w:t>09</w:t>
            </w:r>
            <w:r>
              <w:rPr>
                <w:rFonts w:ascii="宋体" w:eastAsia="宋体" w:hAnsi="宋体" w:cs="宋体" w:hint="eastAsia"/>
                <w:color w:val="000000"/>
                <w:kern w:val="0"/>
                <w:sz w:val="20"/>
                <w:szCs w:val="20"/>
                <w:lang/>
              </w:rPr>
              <w:t>表</w:t>
            </w:r>
          </w:p>
          <w:p w:rsidR="00E77C63" w:rsidRDefault="00720BDD">
            <w:pPr>
              <w:ind w:right="400" w:firstLineChars="650" w:firstLine="1300"/>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rPr>
              <w:t>金额单位：万元</w:t>
            </w:r>
          </w:p>
        </w:tc>
      </w:tr>
      <w:tr w:rsidR="00E77C63">
        <w:trPr>
          <w:trHeight w:val="250"/>
        </w:trPr>
        <w:tc>
          <w:tcPr>
            <w:tcW w:w="630" w:type="dxa"/>
            <w:tcBorders>
              <w:top w:val="nil"/>
              <w:left w:val="nil"/>
              <w:bottom w:val="nil"/>
              <w:right w:val="nil"/>
            </w:tcBorders>
            <w:shd w:val="clear" w:color="auto" w:fill="auto"/>
            <w:noWrap/>
            <w:tcMar>
              <w:top w:w="15" w:type="dxa"/>
              <w:left w:w="15" w:type="dxa"/>
              <w:right w:w="15" w:type="dxa"/>
            </w:tcMar>
            <w:vAlign w:val="bottom"/>
          </w:tcPr>
          <w:p w:rsidR="00E77C63" w:rsidRDefault="00720BDD">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rsidR="00E77C63" w:rsidRDefault="00E77C63">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rsidR="00E77C63" w:rsidRDefault="00720BDD">
            <w:pPr>
              <w:rPr>
                <w:rFonts w:ascii="Arial" w:hAnsi="Arial" w:cs="Arial"/>
                <w:color w:val="000000"/>
                <w:sz w:val="20"/>
                <w:szCs w:val="20"/>
              </w:rPr>
            </w:pPr>
            <w:r>
              <w:rPr>
                <w:rFonts w:ascii="Arial" w:hAnsi="Arial" w:cs="Arial" w:hint="eastAsia"/>
                <w:color w:val="000000"/>
                <w:sz w:val="18"/>
                <w:szCs w:val="18"/>
              </w:rPr>
              <w:t>张家口市第四医院</w:t>
            </w:r>
          </w:p>
        </w:tc>
        <w:tc>
          <w:tcPr>
            <w:tcW w:w="3195" w:type="dxa"/>
            <w:gridSpan w:val="4"/>
            <w:vMerge/>
            <w:tcBorders>
              <w:left w:val="nil"/>
              <w:bottom w:val="nil"/>
              <w:right w:val="nil"/>
            </w:tcBorders>
            <w:shd w:val="clear" w:color="auto" w:fill="auto"/>
            <w:noWrap/>
            <w:tcMar>
              <w:top w:w="15" w:type="dxa"/>
              <w:left w:w="15" w:type="dxa"/>
              <w:right w:w="15" w:type="dxa"/>
            </w:tcMar>
            <w:vAlign w:val="bottom"/>
          </w:tcPr>
          <w:p w:rsidR="00E77C63" w:rsidRDefault="00E77C63">
            <w:pPr>
              <w:widowControl/>
              <w:jc w:val="right"/>
              <w:textAlignment w:val="bottom"/>
              <w:rPr>
                <w:rFonts w:ascii="宋体" w:eastAsia="宋体" w:hAnsi="宋体" w:cs="宋体"/>
                <w:color w:val="000000"/>
                <w:sz w:val="20"/>
                <w:szCs w:val="20"/>
              </w:rPr>
            </w:pPr>
          </w:p>
        </w:tc>
      </w:tr>
      <w:tr w:rsidR="00E77C63">
        <w:trPr>
          <w:gridAfter w:val="1"/>
          <w:wAfter w:w="61" w:type="dxa"/>
          <w:trHeight w:val="302"/>
        </w:trPr>
        <w:tc>
          <w:tcPr>
            <w:tcW w:w="42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科目</w:t>
            </w:r>
          </w:p>
        </w:tc>
        <w:tc>
          <w:tcPr>
            <w:tcW w:w="4272" w:type="dxa"/>
            <w:gridSpan w:val="4"/>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本年支出</w:t>
            </w:r>
          </w:p>
        </w:tc>
      </w:tr>
      <w:tr w:rsidR="00E77C63">
        <w:trPr>
          <w:gridAfter w:val="1"/>
          <w:wAfter w:w="61" w:type="dxa"/>
          <w:trHeight w:val="604"/>
        </w:trPr>
        <w:tc>
          <w:tcPr>
            <w:tcW w:w="1291"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功能分类科目编码</w:t>
            </w:r>
          </w:p>
        </w:tc>
        <w:tc>
          <w:tcPr>
            <w:tcW w:w="295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科目名称</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小计</w:t>
            </w: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基本支出</w:t>
            </w: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lang/>
              </w:rPr>
              <w:t>项目支出</w:t>
            </w:r>
          </w:p>
        </w:tc>
      </w:tr>
      <w:tr w:rsidR="00E77C63">
        <w:trPr>
          <w:gridAfter w:val="1"/>
          <w:wAfter w:w="61" w:type="dxa"/>
          <w:trHeight w:val="302"/>
        </w:trPr>
        <w:tc>
          <w:tcPr>
            <w:tcW w:w="424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栏次</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r>
      <w:tr w:rsidR="00E77C63">
        <w:trPr>
          <w:gridAfter w:val="1"/>
          <w:wAfter w:w="61" w:type="dxa"/>
          <w:trHeight w:val="302"/>
        </w:trPr>
        <w:tc>
          <w:tcPr>
            <w:tcW w:w="424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720BD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合计</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b/>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b/>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b/>
                <w:color w:val="000000"/>
                <w:sz w:val="22"/>
              </w:rPr>
            </w:pPr>
          </w:p>
        </w:tc>
      </w:tr>
      <w:tr w:rsidR="00E77C63">
        <w:trPr>
          <w:gridAfter w:val="1"/>
          <w:wAfter w:w="61"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r w:rsidR="00E77C63">
        <w:trPr>
          <w:gridAfter w:val="1"/>
          <w:wAfter w:w="61"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r w:rsidR="00E77C63">
        <w:trPr>
          <w:gridAfter w:val="1"/>
          <w:wAfter w:w="61"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r w:rsidR="00E77C63">
        <w:trPr>
          <w:gridAfter w:val="1"/>
          <w:wAfter w:w="61"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r w:rsidR="00E77C63">
        <w:trPr>
          <w:gridAfter w:val="1"/>
          <w:wAfter w:w="61"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77C63" w:rsidRDefault="00E77C63">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77C63" w:rsidRDefault="00E77C63">
            <w:pPr>
              <w:jc w:val="right"/>
              <w:rPr>
                <w:rFonts w:ascii="宋体" w:eastAsia="宋体" w:hAnsi="宋体" w:cs="宋体"/>
                <w:color w:val="000000"/>
                <w:sz w:val="22"/>
              </w:rPr>
            </w:pPr>
          </w:p>
        </w:tc>
      </w:tr>
    </w:tbl>
    <w:p w:rsidR="00E77C63" w:rsidRDefault="00720BDD">
      <w:pPr>
        <w:rPr>
          <w:rFonts w:ascii="黑体" w:eastAsia="黑体" w:hAnsi="黑体" w:cs="黑体"/>
          <w:sz w:val="56"/>
          <w:szCs w:val="72"/>
        </w:rPr>
      </w:pPr>
      <w:r>
        <w:rPr>
          <w:rFonts w:ascii="宋体" w:eastAsia="宋体" w:hAnsi="宋体" w:cs="宋体" w:hint="eastAsia"/>
        </w:rPr>
        <w:t>注：</w:t>
      </w:r>
      <w:r>
        <w:rPr>
          <w:rFonts w:ascii="宋体" w:eastAsia="宋体" w:hAnsi="宋体" w:cs="宋体" w:hint="eastAsia"/>
          <w:sz w:val="20"/>
          <w:szCs w:val="22"/>
        </w:rPr>
        <w:t>本部门本年度无相关收入（或支出、收支及结转结余等）情况，按要求空表列示。</w:t>
      </w:r>
      <w:r>
        <w:rPr>
          <w:rFonts w:ascii="宋体" w:eastAsia="宋体" w:hAnsi="宋体" w:cs="宋体" w:hint="eastAsia"/>
          <w:sz w:val="20"/>
          <w:szCs w:val="22"/>
        </w:rPr>
        <w:br w:type="page"/>
      </w:r>
    </w:p>
    <w:p w:rsidR="00E77C63" w:rsidRDefault="00E77C63">
      <w:pPr>
        <w:rPr>
          <w:rFonts w:ascii="黑体" w:eastAsia="黑体" w:hAnsi="黑体" w:cs="黑体"/>
          <w:sz w:val="56"/>
          <w:szCs w:val="72"/>
        </w:rPr>
      </w:pPr>
    </w:p>
    <w:p w:rsidR="00E77C63" w:rsidRDefault="00E77C63">
      <w:pPr>
        <w:rPr>
          <w:rFonts w:ascii="黑体" w:eastAsia="黑体" w:hAnsi="黑体" w:cs="黑体"/>
          <w:sz w:val="56"/>
          <w:szCs w:val="72"/>
        </w:rPr>
      </w:pPr>
    </w:p>
    <w:p w:rsidR="00E77C63" w:rsidRDefault="00E77C63">
      <w:pPr>
        <w:rPr>
          <w:rFonts w:ascii="黑体" w:eastAsia="黑体" w:hAnsi="黑体" w:cs="黑体"/>
          <w:sz w:val="56"/>
          <w:szCs w:val="72"/>
        </w:rPr>
      </w:pPr>
    </w:p>
    <w:p w:rsidR="00E77C63" w:rsidRDefault="00E77C63">
      <w:pPr>
        <w:rPr>
          <w:rFonts w:ascii="黑体" w:eastAsia="黑体" w:hAnsi="黑体" w:cs="黑体"/>
          <w:sz w:val="56"/>
          <w:szCs w:val="72"/>
        </w:rPr>
      </w:pPr>
    </w:p>
    <w:p w:rsidR="00E77C63" w:rsidRDefault="00E77C63">
      <w:pPr>
        <w:rPr>
          <w:rFonts w:ascii="黑体" w:eastAsia="黑体" w:hAnsi="黑体" w:cs="黑体"/>
          <w:sz w:val="56"/>
          <w:szCs w:val="72"/>
        </w:rPr>
      </w:pPr>
    </w:p>
    <w:p w:rsidR="00E77C63" w:rsidRDefault="00E77C63">
      <w:pPr>
        <w:rPr>
          <w:rFonts w:ascii="黑体" w:eastAsia="黑体" w:hAnsi="黑体" w:cs="黑体"/>
          <w:sz w:val="56"/>
          <w:szCs w:val="72"/>
        </w:rPr>
      </w:pPr>
    </w:p>
    <w:p w:rsidR="00E77C63" w:rsidRDefault="00E77C63">
      <w:pPr>
        <w:tabs>
          <w:tab w:val="left" w:pos="235"/>
        </w:tabs>
        <w:spacing w:line="600" w:lineRule="exact"/>
        <w:ind w:firstLineChars="200" w:firstLine="640"/>
        <w:jc w:val="left"/>
        <w:rPr>
          <w:rFonts w:ascii="仿宋_GB2312" w:eastAsia="仿宋_GB2312" w:hAnsi="Cambria" w:cs="Arial Black"/>
          <w:kern w:val="0"/>
          <w:sz w:val="32"/>
          <w:szCs w:val="32"/>
        </w:rPr>
        <w:sectPr w:rsidR="00E77C63">
          <w:pgSz w:w="11906" w:h="16838"/>
          <w:pgMar w:top="1984" w:right="1531" w:bottom="2098" w:left="1531" w:header="851" w:footer="992" w:gutter="0"/>
          <w:cols w:space="425"/>
          <w:docGrid w:type="lines" w:linePitch="312"/>
        </w:sectPr>
      </w:pPr>
    </w:p>
    <w:p w:rsidR="00E77C63" w:rsidRDefault="00E77C63">
      <w:pPr>
        <w:tabs>
          <w:tab w:val="left" w:pos="235"/>
        </w:tabs>
        <w:spacing w:line="600" w:lineRule="exact"/>
        <w:ind w:firstLineChars="200" w:firstLine="640"/>
        <w:jc w:val="left"/>
        <w:rPr>
          <w:rFonts w:ascii="仿宋_GB2312" w:eastAsia="仿宋_GB2312" w:hAnsi="Cambria" w:cs="Arial Black"/>
          <w:kern w:val="0"/>
          <w:sz w:val="32"/>
          <w:szCs w:val="32"/>
        </w:rPr>
      </w:pPr>
      <w:r w:rsidRPr="00E77C63">
        <w:rPr>
          <w:sz w:val="32"/>
        </w:rPr>
        <w:lastRenderedPageBreak/>
        <w:pict>
          <v:rect id="_x0000_s1027" style="position:absolute;left:0;text-align:left;margin-left:-78.2pt;margin-top:-106.6pt;width:601pt;height:842.2pt;z-index:251665408;v-text-anchor:middle"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fillcolor="#bdd7ee" stroked="f" strokeweight="1pt"/>
        </w:pict>
      </w:r>
    </w:p>
    <w:sectPr w:rsidR="00E77C63" w:rsidSect="00E77C63">
      <w:pgSz w:w="11906" w:h="16838"/>
      <w:pgMar w:top="2098" w:right="1531" w:bottom="1984"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BDD" w:rsidRDefault="00720BDD" w:rsidP="00E77C63">
      <w:r>
        <w:separator/>
      </w:r>
    </w:p>
  </w:endnote>
  <w:endnote w:type="continuationSeparator" w:id="1">
    <w:p w:rsidR="00720BDD" w:rsidRDefault="00720BDD" w:rsidP="00E77C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Arial Unicode MS"/>
    <w:charset w:val="00"/>
    <w:family w:val="auto"/>
    <w:pitch w:val="default"/>
    <w:sig w:usb0="00000000" w:usb1="C000247B" w:usb2="00000009" w:usb3="00000000" w:csb0="2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C63" w:rsidRDefault="00E77C6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C63" w:rsidRDefault="00E77C6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BDD" w:rsidRDefault="00720BDD" w:rsidP="00E77C63">
      <w:r>
        <w:separator/>
      </w:r>
    </w:p>
  </w:footnote>
  <w:footnote w:type="continuationSeparator" w:id="1">
    <w:p w:rsidR="00720BDD" w:rsidRDefault="00720BDD" w:rsidP="00E77C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C63" w:rsidRDefault="00E77C6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C63" w:rsidRDefault="00E77C6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C63" w:rsidRDefault="00E77C63">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C63" w:rsidRDefault="00E77C6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B9A87"/>
    <w:multiLevelType w:val="singleLevel"/>
    <w:tmpl w:val="45DB9A87"/>
    <w:lvl w:ilvl="0">
      <w:start w:val="3"/>
      <w:numFmt w:val="chineseCounting"/>
      <w:suff w:val="nothing"/>
      <w:lvlText w:val="（%1）"/>
      <w:lvlJc w:val="left"/>
      <w:rPr>
        <w:rFonts w:hint="eastAsia"/>
      </w:rPr>
    </w:lvl>
  </w:abstractNum>
  <w:abstractNum w:abstractNumId="1">
    <w:nsid w:val="5F222FFA"/>
    <w:multiLevelType w:val="singleLevel"/>
    <w:tmpl w:val="5F222FFA"/>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34C45458"/>
    <w:rsid w:val="00061A05"/>
    <w:rsid w:val="00146C6F"/>
    <w:rsid w:val="0018668E"/>
    <w:rsid w:val="001B73D2"/>
    <w:rsid w:val="001E62BF"/>
    <w:rsid w:val="00203209"/>
    <w:rsid w:val="00293E7B"/>
    <w:rsid w:val="002D1F4F"/>
    <w:rsid w:val="00366D90"/>
    <w:rsid w:val="003D678E"/>
    <w:rsid w:val="00720BDD"/>
    <w:rsid w:val="00765B29"/>
    <w:rsid w:val="00801F66"/>
    <w:rsid w:val="009334BF"/>
    <w:rsid w:val="00AC1EA5"/>
    <w:rsid w:val="00E77C63"/>
    <w:rsid w:val="012E6B7B"/>
    <w:rsid w:val="021677BF"/>
    <w:rsid w:val="03BD2A3C"/>
    <w:rsid w:val="05210F05"/>
    <w:rsid w:val="058B71E0"/>
    <w:rsid w:val="0ABF277B"/>
    <w:rsid w:val="0BF642F0"/>
    <w:rsid w:val="0CED4A31"/>
    <w:rsid w:val="0DC63ACB"/>
    <w:rsid w:val="0EA325C9"/>
    <w:rsid w:val="0FC52E43"/>
    <w:rsid w:val="104B340F"/>
    <w:rsid w:val="13BB1084"/>
    <w:rsid w:val="150177D2"/>
    <w:rsid w:val="153C4810"/>
    <w:rsid w:val="15B82B41"/>
    <w:rsid w:val="15F54258"/>
    <w:rsid w:val="1AEF593C"/>
    <w:rsid w:val="1CF611F4"/>
    <w:rsid w:val="222B3EAF"/>
    <w:rsid w:val="22611F46"/>
    <w:rsid w:val="22F4437A"/>
    <w:rsid w:val="2402113F"/>
    <w:rsid w:val="25C46C91"/>
    <w:rsid w:val="262179E2"/>
    <w:rsid w:val="27494436"/>
    <w:rsid w:val="28C831EF"/>
    <w:rsid w:val="29EF0632"/>
    <w:rsid w:val="2A4A0F51"/>
    <w:rsid w:val="2DE25823"/>
    <w:rsid w:val="2E10606D"/>
    <w:rsid w:val="2FB96948"/>
    <w:rsid w:val="31037212"/>
    <w:rsid w:val="3297053E"/>
    <w:rsid w:val="34C45458"/>
    <w:rsid w:val="35C83C42"/>
    <w:rsid w:val="38E01F05"/>
    <w:rsid w:val="39963517"/>
    <w:rsid w:val="3B5F550A"/>
    <w:rsid w:val="3BAB21E2"/>
    <w:rsid w:val="3C1F12F6"/>
    <w:rsid w:val="3C526493"/>
    <w:rsid w:val="3C89712F"/>
    <w:rsid w:val="3CC55C1E"/>
    <w:rsid w:val="3FD43A42"/>
    <w:rsid w:val="40ED1E7B"/>
    <w:rsid w:val="41217B22"/>
    <w:rsid w:val="42BF5921"/>
    <w:rsid w:val="42DF6B1E"/>
    <w:rsid w:val="44D953F7"/>
    <w:rsid w:val="459C566E"/>
    <w:rsid w:val="48507DE6"/>
    <w:rsid w:val="4914336D"/>
    <w:rsid w:val="49557C20"/>
    <w:rsid w:val="49DC0590"/>
    <w:rsid w:val="4A4F020D"/>
    <w:rsid w:val="4BA1204F"/>
    <w:rsid w:val="4BB532CE"/>
    <w:rsid w:val="4D455D55"/>
    <w:rsid w:val="51D37282"/>
    <w:rsid w:val="53280831"/>
    <w:rsid w:val="54046C2A"/>
    <w:rsid w:val="5418089C"/>
    <w:rsid w:val="5455768F"/>
    <w:rsid w:val="547A6E83"/>
    <w:rsid w:val="54F8398F"/>
    <w:rsid w:val="551E11F2"/>
    <w:rsid w:val="557B7985"/>
    <w:rsid w:val="55845E1E"/>
    <w:rsid w:val="573413CD"/>
    <w:rsid w:val="57B961C3"/>
    <w:rsid w:val="57E37CC9"/>
    <w:rsid w:val="5A663D50"/>
    <w:rsid w:val="5B0C36D1"/>
    <w:rsid w:val="5D0C63C4"/>
    <w:rsid w:val="5F8E3D33"/>
    <w:rsid w:val="5F9C7854"/>
    <w:rsid w:val="5FCA7F51"/>
    <w:rsid w:val="6362014D"/>
    <w:rsid w:val="686A43E9"/>
    <w:rsid w:val="69583A88"/>
    <w:rsid w:val="6BEC358E"/>
    <w:rsid w:val="6F6C3BDE"/>
    <w:rsid w:val="71EF396F"/>
    <w:rsid w:val="72641F87"/>
    <w:rsid w:val="73406F55"/>
    <w:rsid w:val="73D824BD"/>
    <w:rsid w:val="743B5238"/>
    <w:rsid w:val="7651721F"/>
    <w:rsid w:val="799615B1"/>
    <w:rsid w:val="79D724F6"/>
    <w:rsid w:val="7B9B1203"/>
    <w:rsid w:val="7D7738D3"/>
    <w:rsid w:val="7D7B4F8D"/>
    <w:rsid w:val="7E9F05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7C63"/>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rsid w:val="00E77C6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E77C63"/>
    <w:pPr>
      <w:tabs>
        <w:tab w:val="center" w:pos="4153"/>
        <w:tab w:val="right" w:pos="8306"/>
      </w:tabs>
      <w:snapToGrid w:val="0"/>
      <w:jc w:val="left"/>
    </w:pPr>
    <w:rPr>
      <w:sz w:val="18"/>
      <w:szCs w:val="18"/>
    </w:rPr>
  </w:style>
  <w:style w:type="paragraph" w:styleId="a4">
    <w:name w:val="header"/>
    <w:basedOn w:val="a"/>
    <w:uiPriority w:val="99"/>
    <w:unhideWhenUsed/>
    <w:qFormat/>
    <w:rsid w:val="00E77C63"/>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5">
    <w:name w:val="Table Grid"/>
    <w:uiPriority w:val="1"/>
    <w:qFormat/>
    <w:rsid w:val="00E77C6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21">
    <w:name w:val="font21"/>
    <w:basedOn w:val="a0"/>
    <w:qFormat/>
    <w:rsid w:val="00E77C63"/>
    <w:rPr>
      <w:rFonts w:ascii="宋体" w:eastAsia="宋体" w:hAnsi="宋体" w:cs="宋体" w:hint="eastAsia"/>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p>
        </c:rich>
      </c:tx>
      <c:spPr>
        <a:noFill/>
        <a:ln>
          <a:noFill/>
        </a:ln>
        <a:effectLst/>
      </c:spPr>
    </c:title>
    <c:plotArea>
      <c:layout/>
      <c:barChart>
        <c:barDir val="col"/>
        <c:grouping val="clustered"/>
        <c:ser>
          <c:idx val="0"/>
          <c:order val="0"/>
          <c:tx>
            <c:strRef>
              <c:f>Sheet1!$B$1</c:f>
              <c:strCache>
                <c:ptCount val="1"/>
                <c:pt idx="0">
                  <c:v>收支总计</c:v>
                </c:pt>
              </c:strCache>
            </c:strRef>
          </c:tx>
          <c:spPr>
            <a:solidFill>
              <a:schemeClr val="accent1"/>
            </a:solidFill>
            <a:ln>
              <a:noFill/>
            </a:ln>
            <a:effectLst/>
          </c:spPr>
          <c:dLbls>
            <c:numFmt formatCode="@"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-14.6%</c:name>
            <c:spPr>
              <a:ln w="19050" cap="rnd">
                <a:solidFill>
                  <a:schemeClr val="accent1"/>
                </a:solidFill>
                <a:prstDash val="sysDot"/>
              </a:ln>
              <a:effectLst/>
            </c:spPr>
            <c:trendlineType val="linear"/>
          </c:trendline>
          <c:cat>
            <c:strRef>
              <c:f>Sheet1!$A$2:$A$3</c:f>
              <c:strCache>
                <c:ptCount val="2"/>
                <c:pt idx="0">
                  <c:v>2019年</c:v>
                </c:pt>
                <c:pt idx="1">
                  <c:v>2020年</c:v>
                </c:pt>
              </c:strCache>
            </c:strRef>
          </c:cat>
          <c:val>
            <c:numRef>
              <c:f>Sheet1!$B$2:$B$3</c:f>
              <c:numCache>
                <c:formatCode>General</c:formatCode>
                <c:ptCount val="2"/>
                <c:pt idx="0">
                  <c:v>40466.51</c:v>
                </c:pt>
                <c:pt idx="1">
                  <c:v>34558.92</c:v>
                </c:pt>
              </c:numCache>
            </c:numRef>
          </c:val>
        </c:ser>
        <c:dLbls>
          <c:showVal val="1"/>
        </c:dLbls>
        <c:axId val="166333056"/>
        <c:axId val="312578432"/>
      </c:barChart>
      <c:catAx>
        <c:axId val="166333056"/>
        <c:scaling>
          <c:orientation val="minMax"/>
        </c:scaling>
        <c:axPos val="b"/>
        <c:numFmt formatCode="0.00%"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crossAx val="312578432"/>
        <c:crosses val="autoZero"/>
        <c:auto val="1"/>
        <c:lblAlgn val="ctr"/>
        <c:lblOffset val="100"/>
      </c:catAx>
      <c:valAx>
        <c:axId val="312578432"/>
        <c:scaling>
          <c:orientation val="minMax"/>
          <c:min val="0"/>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crossAx val="166333056"/>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legendEntry>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legend>
    <c:plotVisOnly val="1"/>
    <c:dispBlanksAs val="gap"/>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收入决算构成情况</a:t>
            </a:r>
          </a:p>
        </c:rich>
      </c:tx>
      <c:spPr>
        <a:noFill/>
        <a:ln>
          <a:noFill/>
        </a:ln>
        <a:effectLst/>
      </c:spPr>
    </c:title>
    <c:view3D>
      <c:rotX val="30"/>
      <c:rotY val="115"/>
      <c:depthPercent val="100"/>
      <c:perspective val="30"/>
    </c:view3D>
    <c:floor>
      <c:spPr>
        <a:noFill/>
        <a:effectLst/>
      </c:spPr>
    </c:floor>
    <c:sideWall>
      <c:spPr>
        <a:noFill/>
        <a:effectLst/>
      </c:spPr>
    </c:sideWall>
    <c:backWall>
      <c:spPr>
        <a:noFill/>
        <a:effectLst/>
      </c:spPr>
    </c:backWall>
    <c:plotArea>
      <c:layout/>
      <c:pie3DChart>
        <c:varyColors val="1"/>
        <c:ser>
          <c:idx val="0"/>
          <c:order val="0"/>
          <c:tx>
            <c:strRef>
              <c:f>Sheet1!$B$1</c:f>
              <c:strCache>
                <c:ptCount val="1"/>
                <c:pt idx="0">
                  <c:v>系列 1</c:v>
                </c:pt>
              </c:strCache>
            </c:strRef>
          </c:tx>
          <c:spPr>
            <a:scene3d>
              <a:camera prst="orthographicFront"/>
              <a:lightRig rig="threePt" dir="t"/>
            </a:scene3d>
            <a:sp3d contourW="25400"/>
          </c:spPr>
          <c:dPt>
            <c:idx val="0"/>
            <c:spPr>
              <a:solidFill>
                <a:schemeClr val="accent1"/>
              </a:solidFill>
              <a:ln w="25400">
                <a:solidFill>
                  <a:schemeClr val="lt1"/>
                </a:solidFill>
              </a:ln>
              <a:effectLst/>
            </c:spPr>
          </c:dPt>
          <c:dPt>
            <c:idx val="1"/>
            <c:spPr>
              <a:solidFill>
                <a:schemeClr val="accent2"/>
              </a:solidFill>
              <a:ln w="25400">
                <a:solidFill>
                  <a:schemeClr val="lt1"/>
                </a:solidFill>
              </a:ln>
              <a:effectLst/>
            </c:spPr>
          </c:dPt>
          <c:dPt>
            <c:idx val="2"/>
            <c:spPr>
              <a:solidFill>
                <a:schemeClr val="accent3"/>
              </a:solidFill>
              <a:ln w="2540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财政拨款收入</c:v>
                </c:pt>
                <c:pt idx="1">
                  <c:v>事业收入</c:v>
                </c:pt>
                <c:pt idx="2">
                  <c:v>其他收入</c:v>
                </c:pt>
              </c:strCache>
            </c:strRef>
          </c:cat>
          <c:val>
            <c:numRef>
              <c:f>Sheet1!$B$2:$B$4</c:f>
              <c:numCache>
                <c:formatCode>0.00_ </c:formatCode>
                <c:ptCount val="3"/>
                <c:pt idx="0">
                  <c:v>1276.21</c:v>
                </c:pt>
                <c:pt idx="1">
                  <c:v>15396.230000000003</c:v>
                </c:pt>
                <c:pt idx="2">
                  <c:v>354.36</c:v>
                </c:pt>
              </c:numCache>
            </c:numRef>
          </c:val>
        </c:ser>
        <c:ser>
          <c:idx val="1"/>
          <c:order val="1"/>
          <c:tx>
            <c:strRef>
              <c:f>Sheet1!#REF!</c:f>
              <c:strCache>
                <c:ptCount val="1"/>
              </c:strCache>
            </c:strRef>
          </c:tx>
          <c:dPt>
            <c:idx val="0"/>
            <c:spPr>
              <a:solidFill>
                <a:schemeClr val="accent1"/>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财政拨款收入</c:v>
                </c:pt>
                <c:pt idx="1">
                  <c:v>事业收入</c:v>
                </c:pt>
                <c:pt idx="2">
                  <c:v>其他收入</c:v>
                </c:pt>
              </c:strCache>
            </c:strRef>
          </c:cat>
          <c:val>
            <c:numRef>
              <c:f>Sheet1!#REF!</c:f>
              <c:numCache>
                <c:formatCode>General</c:formatCode>
                <c:ptCount val="1"/>
                <c:pt idx="0">
                  <c:v>1</c:v>
                </c:pt>
              </c:numCache>
            </c:numRef>
          </c:val>
        </c:ser>
        <c:ser>
          <c:idx val="2"/>
          <c:order val="2"/>
          <c:tx>
            <c:strRef>
              <c:f>Sheet1!#REF!</c:f>
              <c:strCache>
                <c:ptCount val="1"/>
              </c:strCache>
            </c:strRef>
          </c:tx>
          <c:dPt>
            <c:idx val="0"/>
            <c:spPr>
              <a:solidFill>
                <a:schemeClr val="accent1"/>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财政拨款收入</c:v>
                </c:pt>
                <c:pt idx="1">
                  <c:v>事业收入</c:v>
                </c:pt>
                <c:pt idx="2">
                  <c:v>其他收入</c:v>
                </c:pt>
              </c:strCache>
            </c:strRef>
          </c:cat>
          <c:val>
            <c:numRef>
              <c:f>Sheet1!#REF!</c:f>
              <c:numCache>
                <c:formatCode>General</c:formatCode>
                <c:ptCount val="1"/>
                <c:pt idx="0">
                  <c:v>1</c:v>
                </c:pt>
              </c:numCache>
            </c:numRef>
          </c:val>
        </c:ser>
        <c:dLbls>
          <c:showPercent val="1"/>
        </c:dLbls>
      </c:pie3D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支出决算构成情况</a:t>
            </a:r>
          </a:p>
        </c:rich>
      </c:tx>
      <c:spPr>
        <a:noFill/>
        <a:ln>
          <a:noFill/>
        </a:ln>
        <a:effectLst/>
      </c:spPr>
    </c:title>
    <c:view3D>
      <c:rotX val="30"/>
      <c:rotY val="115"/>
      <c:depthPercent val="100"/>
      <c:perspective val="30"/>
    </c:view3D>
    <c:floor>
      <c:spPr>
        <a:noFill/>
        <a:effectLst/>
      </c:spPr>
    </c:floor>
    <c:sideWall>
      <c:spPr>
        <a:noFill/>
        <a:effectLst/>
      </c:spPr>
    </c:sideWall>
    <c:backWall>
      <c:spPr>
        <a:noFill/>
        <a:effectLst/>
      </c:spPr>
    </c:backWall>
    <c:plotArea>
      <c:layout/>
      <c:pie3DChart>
        <c:varyColors val="1"/>
        <c:ser>
          <c:idx val="0"/>
          <c:order val="0"/>
          <c:tx>
            <c:strRef>
              <c:f>Sheet1!$B$1</c:f>
              <c:strCache>
                <c:ptCount val="1"/>
                <c:pt idx="0">
                  <c:v>系列 1</c:v>
                </c:pt>
              </c:strCache>
            </c:strRef>
          </c:tx>
          <c:spPr>
            <a:scene3d>
              <a:camera prst="orthographicFront"/>
              <a:lightRig rig="threePt" dir="t"/>
            </a:scene3d>
            <a:sp3d contourW="25400"/>
          </c:spPr>
          <c:dPt>
            <c:idx val="0"/>
            <c:spPr>
              <a:solidFill>
                <a:schemeClr val="accent1"/>
              </a:solidFill>
              <a:ln w="25400">
                <a:solidFill>
                  <a:schemeClr val="lt1"/>
                </a:solidFill>
              </a:ln>
              <a:effectLst/>
            </c:spPr>
          </c:dPt>
          <c:dPt>
            <c:idx val="1"/>
            <c:spPr>
              <a:solidFill>
                <a:schemeClr val="accent2"/>
              </a:solidFill>
              <a:ln w="25400">
                <a:solidFill>
                  <a:schemeClr val="lt1"/>
                </a:solidFill>
              </a:ln>
              <a:effectLst/>
            </c:spPr>
          </c:dPt>
          <c:dPt>
            <c:idx val="2"/>
            <c:spPr>
              <a:solidFill>
                <a:schemeClr val="accent3"/>
              </a:solidFill>
              <a:ln w="2540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基本支出</c:v>
                </c:pt>
                <c:pt idx="1">
                  <c:v>项目支出</c:v>
                </c:pt>
                <c:pt idx="2">
                  <c:v>经营支出</c:v>
                </c:pt>
              </c:strCache>
            </c:strRef>
          </c:cat>
          <c:val>
            <c:numRef>
              <c:f>Sheet1!$B$2:$B$4</c:f>
              <c:numCache>
                <c:formatCode>0.00_ </c:formatCode>
                <c:ptCount val="3"/>
                <c:pt idx="0">
                  <c:v>15884.78</c:v>
                </c:pt>
                <c:pt idx="1">
                  <c:v>1506.04</c:v>
                </c:pt>
                <c:pt idx="2">
                  <c:v>0</c:v>
                </c:pt>
              </c:numCache>
            </c:numRef>
          </c:val>
        </c:ser>
        <c:ser>
          <c:idx val="1"/>
          <c:order val="1"/>
          <c:tx>
            <c:strRef>
              <c:f>Sheet1!#REF!</c:f>
              <c:strCache>
                <c:ptCount val="1"/>
              </c:strCache>
            </c:strRef>
          </c:tx>
          <c:dPt>
            <c:idx val="0"/>
            <c:spPr>
              <a:solidFill>
                <a:schemeClr val="accent1"/>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基本支出</c:v>
                </c:pt>
                <c:pt idx="1">
                  <c:v>项目支出</c:v>
                </c:pt>
                <c:pt idx="2">
                  <c:v>经营支出</c:v>
                </c:pt>
              </c:strCache>
            </c:strRef>
          </c:cat>
          <c:val>
            <c:numRef>
              <c:f>Sheet1!#REF!</c:f>
              <c:numCache>
                <c:formatCode>General</c:formatCode>
                <c:ptCount val="1"/>
                <c:pt idx="0">
                  <c:v>1</c:v>
                </c:pt>
              </c:numCache>
            </c:numRef>
          </c:val>
        </c:ser>
        <c:ser>
          <c:idx val="2"/>
          <c:order val="2"/>
          <c:tx>
            <c:strRef>
              <c:f>Sheet1!#REF!</c:f>
              <c:strCache>
                <c:ptCount val="1"/>
              </c:strCache>
            </c:strRef>
          </c:tx>
          <c:dPt>
            <c:idx val="0"/>
            <c:spPr>
              <a:solidFill>
                <a:schemeClr val="accent1"/>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基本支出</c:v>
                </c:pt>
                <c:pt idx="1">
                  <c:v>项目支出</c:v>
                </c:pt>
                <c:pt idx="2">
                  <c:v>经营支出</c:v>
                </c:pt>
              </c:strCache>
            </c:strRef>
          </c:cat>
          <c:val>
            <c:numRef>
              <c:f>Sheet1!#REF!</c:f>
              <c:numCache>
                <c:formatCode>General</c:formatCode>
                <c:ptCount val="1"/>
                <c:pt idx="0">
                  <c:v>1</c:v>
                </c:pt>
              </c:numCache>
            </c:numRef>
          </c:val>
        </c:ser>
        <c:dLbls>
          <c:showPercent val="1"/>
        </c:dLbls>
      </c:pie3D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年财政拨款支出</a:t>
            </a:r>
          </a:p>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情况对比</a:t>
            </a:r>
          </a:p>
        </c:rich>
      </c:tx>
      <c:spPr>
        <a:noFill/>
        <a:ln>
          <a:noFill/>
        </a:ln>
        <a:effectLst/>
      </c:spPr>
    </c:title>
    <c:plotArea>
      <c:layout/>
      <c:barChart>
        <c:barDir val="col"/>
        <c:grouping val="clustered"/>
        <c:ser>
          <c:idx val="0"/>
          <c:order val="0"/>
          <c:tx>
            <c:strRef>
              <c:f>Sheet1!$B$1</c:f>
              <c:strCache>
                <c:ptCount val="1"/>
                <c:pt idx="0">
                  <c:v>支出总计</c:v>
                </c:pt>
              </c:strCache>
            </c:strRef>
          </c:tx>
          <c:spPr>
            <a:solidFill>
              <a:schemeClr val="accent1"/>
            </a:solidFill>
            <a:ln>
              <a:noFill/>
            </a:ln>
            <a:effectLst/>
          </c:spPr>
          <c:dLbls>
            <c:numFmt formatCode="@"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-14.6%</c:nam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trendline>
          <c:cat>
            <c:strRef>
              <c:f>Sheet1!$A$2:$A$3</c:f>
              <c:strCache>
                <c:ptCount val="2"/>
                <c:pt idx="0">
                  <c:v>2019年</c:v>
                </c:pt>
                <c:pt idx="1">
                  <c:v>2020年</c:v>
                </c:pt>
              </c:strCache>
            </c:strRef>
          </c:cat>
          <c:val>
            <c:numRef>
              <c:f>Sheet1!$B$2:$B$3</c:f>
              <c:numCache>
                <c:formatCode>General</c:formatCode>
                <c:ptCount val="2"/>
                <c:pt idx="0">
                  <c:v>1095.97</c:v>
                </c:pt>
                <c:pt idx="1">
                  <c:v>1225.1599999999999</c:v>
                </c:pt>
              </c:numCache>
            </c:numRef>
          </c:val>
        </c:ser>
        <c:dLbls>
          <c:showVal val="1"/>
        </c:dLbls>
        <c:axId val="147049088"/>
        <c:axId val="147050880"/>
      </c:barChart>
      <c:catAx>
        <c:axId val="147049088"/>
        <c:scaling>
          <c:orientation val="minMax"/>
        </c:scaling>
        <c:axPos val="b"/>
        <c:numFmt formatCode="0.00%"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crossAx val="147050880"/>
        <c:crosses val="autoZero"/>
        <c:auto val="1"/>
        <c:lblAlgn val="ctr"/>
        <c:lblOffset val="100"/>
      </c:catAx>
      <c:valAx>
        <c:axId val="147050880"/>
        <c:scaling>
          <c:orientation val="minMax"/>
          <c:min val="0"/>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crossAx val="1470490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年财政拨款收入情况对比</a:t>
            </a:r>
          </a:p>
        </c:rich>
      </c:tx>
      <c:spPr>
        <a:noFill/>
        <a:ln>
          <a:noFill/>
        </a:ln>
        <a:effectLst/>
      </c:spPr>
    </c:title>
    <c:plotArea>
      <c:layout/>
      <c:barChart>
        <c:barDir val="col"/>
        <c:grouping val="clustered"/>
        <c:ser>
          <c:idx val="0"/>
          <c:order val="0"/>
          <c:tx>
            <c:strRef>
              <c:f>Sheet1!$B$1</c:f>
              <c:strCache>
                <c:ptCount val="1"/>
                <c:pt idx="0">
                  <c:v>收入总计</c:v>
                </c:pt>
              </c:strCache>
            </c:strRef>
          </c:tx>
          <c:spPr>
            <a:solidFill>
              <a:schemeClr val="accent1"/>
            </a:solidFill>
            <a:ln>
              <a:noFill/>
            </a:ln>
            <a:effectLst/>
          </c:spPr>
          <c:dLbls>
            <c:numFmt formatCode="@"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-14.6%</c:nam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trendline>
          <c:cat>
            <c:strRef>
              <c:f>Sheet1!$A$2:$A$3</c:f>
              <c:strCache>
                <c:ptCount val="2"/>
                <c:pt idx="0">
                  <c:v>2019年</c:v>
                </c:pt>
                <c:pt idx="1">
                  <c:v>2020年</c:v>
                </c:pt>
              </c:strCache>
            </c:strRef>
          </c:cat>
          <c:val>
            <c:numRef>
              <c:f>Sheet1!$B$2:$B$3</c:f>
              <c:numCache>
                <c:formatCode>General</c:formatCode>
                <c:ptCount val="2"/>
                <c:pt idx="0">
                  <c:v>1154.8</c:v>
                </c:pt>
                <c:pt idx="1">
                  <c:v>1276.21</c:v>
                </c:pt>
              </c:numCache>
            </c:numRef>
          </c:val>
        </c:ser>
        <c:dLbls>
          <c:showVal val="1"/>
        </c:dLbls>
        <c:axId val="112614016"/>
        <c:axId val="146846080"/>
      </c:barChart>
      <c:catAx>
        <c:axId val="112614016"/>
        <c:scaling>
          <c:orientation val="minMax"/>
        </c:scaling>
        <c:axPos val="b"/>
        <c:numFmt formatCode="0.00%"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crossAx val="146846080"/>
        <c:crosses val="autoZero"/>
        <c:auto val="1"/>
        <c:lblAlgn val="ctr"/>
        <c:lblOffset val="100"/>
      </c:catAx>
      <c:valAx>
        <c:axId val="146846080"/>
        <c:scaling>
          <c:orientation val="minMax"/>
          <c:min val="0"/>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crossAx val="1126140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600" b="1" i="0" u="none" strike="noStrike" kern="1200" baseline="0">
                <a:ln>
                  <a:noFill/>
                </a:ln>
                <a:solidFill>
                  <a:schemeClr val="tx2"/>
                </a:solidFill>
                <a:latin typeface="+mn-lt"/>
                <a:ea typeface="+mn-ea"/>
                <a:cs typeface="+mn-cs"/>
              </a:defRPr>
            </a:pPr>
            <a:r>
              <a:rPr>
                <a:ln>
                  <a:noFill/>
                </a:ln>
                <a:solidFill>
                  <a:schemeClr val="tx2"/>
                </a:solidFill>
              </a:rPr>
              <a:t>20</a:t>
            </a:r>
            <a:r>
              <a:rPr lang="en-US" altLang="zh-CN">
                <a:ln>
                  <a:noFill/>
                </a:ln>
                <a:solidFill>
                  <a:schemeClr val="tx2"/>
                </a:solidFill>
              </a:rPr>
              <a:t>20</a:t>
            </a:r>
            <a:r>
              <a:rPr>
                <a:ln>
                  <a:noFill/>
                </a:ln>
                <a:solidFill>
                  <a:schemeClr val="tx2"/>
                </a:solidFill>
              </a:rPr>
              <a:t>财政拨款收入情况</a:t>
            </a:r>
          </a:p>
        </c:rich>
      </c:tx>
      <c:spPr>
        <a:noFill/>
        <a:ln>
          <a:noFill/>
        </a:ln>
        <a:effectLst/>
      </c:spPr>
    </c:title>
    <c:view3D>
      <c:rotX val="30"/>
      <c:rotY val="160"/>
      <c:depthPercent val="40"/>
      <c:perspective val="60"/>
    </c:view3D>
    <c:floor>
      <c:spPr>
        <a:noFill/>
        <a:effectLst/>
      </c:spPr>
    </c:floor>
    <c:sideWall>
      <c:spPr>
        <a:noFill/>
        <a:effectLst/>
      </c:spPr>
    </c:sideWall>
    <c:backWall>
      <c:spPr>
        <a:noFill/>
        <a:effectLst/>
      </c:spPr>
    </c:backWall>
    <c:plotArea>
      <c:layout>
        <c:manualLayout>
          <c:layoutTarget val="inner"/>
          <c:xMode val="edge"/>
          <c:yMode val="edge"/>
          <c:x val="5.7559478127398311E-3"/>
          <c:y val="7.5804776739356219E-2"/>
          <c:w val="0.9808135072908668"/>
          <c:h val="0.73451021114572501"/>
        </c:manualLayout>
      </c:layout>
      <c:pie3DChart>
        <c:varyColors val="1"/>
        <c:ser>
          <c:idx val="0"/>
          <c:order val="0"/>
          <c:tx>
            <c:strRef>
              <c:f>Sheet1!$B$1</c:f>
              <c:strCache>
                <c:ptCount val="1"/>
                <c:pt idx="0">
                  <c:v>2019财政拨款收入情况</c:v>
                </c:pt>
              </c:strCache>
            </c:strRef>
          </c:tx>
          <c:spPr>
            <a:scene3d>
              <a:camera prst="orthographicFront"/>
              <a:lightRig rig="threePt" dir="t"/>
            </a:scene3d>
            <a:sp3d contourW="9525"/>
          </c:spPr>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4200000" algn="ctr" rotWithShape="0">
                  <a:srgbClr val="000000">
                    <a:alpha val="63000"/>
                  </a:srgbClr>
                </a:outerShdw>
              </a:effectLst>
              <a:scene3d>
                <a:camera prst="orthographicFront"/>
                <a:lightRig rig="threePt" dir="t"/>
              </a:scene3d>
              <a:sp3d contourW="9525"/>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Lbls>
            <c:dLbl>
              <c:idx val="0"/>
              <c:layout>
                <c:manualLayout>
                  <c:x val="-5.7559478127398304E-2"/>
                  <c:y val="2.5095188646590508E-2"/>
                </c:manualLayout>
              </c:layout>
              <c:dLblPos val="bestFit"/>
              <c:showVal val="1"/>
              <c:extLst>
                <c:ext xmlns:c15="http://schemas.microsoft.com/office/drawing/2012/chart" uri="{CE6537A1-D6FC-4f65-9D91-7224C49458BB}">
                  <c15:layout/>
                </c:ext>
              </c:extLst>
            </c:dLbl>
            <c:dLbl>
              <c:idx val="2"/>
              <c:layout>
                <c:manualLayout>
                  <c:x val="0"/>
                  <c:y val="-5.3824852890273493E-2"/>
                </c:manualLayout>
              </c:layout>
              <c:dLblPos val="bestFit"/>
              <c:showVal val="1"/>
              <c:extLst>
                <c:ext xmlns:c15="http://schemas.microsoft.com/office/drawing/2012/chart" uri="{CE6537A1-D6FC-4f65-9D91-7224C49458BB}">
                  <c15:layout/>
                </c:ext>
              </c:extLst>
            </c:dLbl>
            <c:dLbl>
              <c:idx val="4"/>
              <c:layout>
                <c:manualLayout>
                  <c:x val="1.9186492709132804E-2"/>
                  <c:y val="6.5420560747663503E-2"/>
                </c:manualLayout>
              </c:layout>
              <c:dLblPos val="bestFit"/>
              <c:showVal val="1"/>
              <c:extLst>
                <c:ext xmlns:c15="http://schemas.microsoft.com/office/drawing/2012/chart" uri="{CE6537A1-D6FC-4f65-9D91-7224C49458BB}">
                  <c15:layout/>
                </c:ext>
              </c:extLst>
            </c:dLbl>
            <c:dLbl>
              <c:idx val="5"/>
              <c:layout>
                <c:manualLayout>
                  <c:x val="8.0966999232540332E-2"/>
                  <c:y val="-5.7113187954309537E-3"/>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ln>
                      <a:noFill/>
                    </a:ln>
                    <a:solidFill>
                      <a:schemeClr val="tx2"/>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其他组织事务拨款</c:v>
                </c:pt>
                <c:pt idx="1">
                  <c:v>其他专科医院拨款</c:v>
                </c:pt>
                <c:pt idx="2">
                  <c:v>事业单位离退休拨款</c:v>
                </c:pt>
                <c:pt idx="3">
                  <c:v>其他公立医院拨款</c:v>
                </c:pt>
                <c:pt idx="4">
                  <c:v>综合医院拨款</c:v>
                </c:pt>
                <c:pt idx="5">
                  <c:v>突发公共卫生事件应急处理拨款</c:v>
                </c:pt>
              </c:strCache>
            </c:strRef>
          </c:cat>
          <c:val>
            <c:numRef>
              <c:f>Sheet1!$B$2:$B$7</c:f>
              <c:numCache>
                <c:formatCode>General</c:formatCode>
                <c:ptCount val="6"/>
                <c:pt idx="0">
                  <c:v>2.57</c:v>
                </c:pt>
                <c:pt idx="1">
                  <c:v>1108.92</c:v>
                </c:pt>
                <c:pt idx="2">
                  <c:v>1.9200000000000004</c:v>
                </c:pt>
                <c:pt idx="3">
                  <c:v>160.80000000000001</c:v>
                </c:pt>
                <c:pt idx="4">
                  <c:v>0</c:v>
                </c:pt>
                <c:pt idx="5">
                  <c:v>2</c:v>
                </c:pt>
              </c:numCache>
            </c:numRef>
          </c:val>
        </c:ser>
        <c:dLbls>
          <c:showVal val="1"/>
        </c:dLbls>
      </c:pie3D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ln>
                  <a:noFill/>
                </a:ln>
                <a:solidFill>
                  <a:schemeClr val="tx2"/>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900" b="0" i="0" u="none" strike="noStrike" kern="1200" baseline="0">
                <a:ln>
                  <a:noFill/>
                </a:ln>
                <a:solidFill>
                  <a:schemeClr val="tx2"/>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900" b="0" i="0" u="none" strike="noStrike" kern="1200" baseline="0">
                <a:ln>
                  <a:noFill/>
                </a:ln>
                <a:solidFill>
                  <a:schemeClr val="tx2"/>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900" b="0" i="0" u="none" strike="noStrike" kern="1200" baseline="0">
                <a:ln>
                  <a:noFill/>
                </a:ln>
                <a:solidFill>
                  <a:schemeClr val="tx2"/>
                </a:solidFill>
                <a:latin typeface="+mn-lt"/>
                <a:ea typeface="+mn-ea"/>
                <a:cs typeface="+mn-cs"/>
              </a:defRPr>
            </a:pPr>
            <a:endParaRPr lang="zh-CN"/>
          </a:p>
        </c:txPr>
      </c:legendEntry>
      <c:legendEntry>
        <c:idx val="4"/>
        <c:txPr>
          <a:bodyPr rot="0" spcFirstLastPara="0" vertOverflow="ellipsis" vert="horz" wrap="square" anchor="ctr" anchorCtr="1"/>
          <a:lstStyle/>
          <a:p>
            <a:pPr>
              <a:defRPr lang="zh-CN" sz="900" b="0" i="0" u="none" strike="noStrike" kern="1200" baseline="0">
                <a:ln>
                  <a:noFill/>
                </a:ln>
                <a:solidFill>
                  <a:schemeClr val="tx2"/>
                </a:solidFill>
                <a:latin typeface="+mn-lt"/>
                <a:ea typeface="+mn-ea"/>
                <a:cs typeface="+mn-cs"/>
              </a:defRPr>
            </a:pPr>
            <a:endParaRPr lang="zh-CN"/>
          </a:p>
        </c:txPr>
      </c:legendEntry>
      <c:legendEntry>
        <c:idx val="5"/>
        <c:txPr>
          <a:bodyPr rot="0" spcFirstLastPara="0" vertOverflow="ellipsis" vert="horz" wrap="square" anchor="ctr" anchorCtr="1"/>
          <a:lstStyle/>
          <a:p>
            <a:pPr>
              <a:defRPr lang="zh-CN" sz="900" b="0" i="0" u="none" strike="noStrike" kern="1200" baseline="0">
                <a:ln>
                  <a:noFill/>
                </a:ln>
                <a:solidFill>
                  <a:schemeClr val="tx2"/>
                </a:solidFill>
                <a:latin typeface="+mn-lt"/>
                <a:ea typeface="+mn-ea"/>
                <a:cs typeface="+mn-cs"/>
              </a:defRPr>
            </a:pPr>
            <a:endParaRPr lang="zh-CN"/>
          </a:p>
        </c:txPr>
      </c:legendEntry>
      <c:layout>
        <c:manualLayout>
          <c:xMode val="edge"/>
          <c:yMode val="edge"/>
          <c:x val="0.20836531082118206"/>
          <c:y val="0.69920387677397022"/>
        </c:manualLayout>
      </c:layout>
      <c:spPr>
        <a:noFill/>
        <a:ln>
          <a:noFill/>
        </a:ln>
        <a:effectLst/>
      </c:spPr>
      <c:txPr>
        <a:bodyPr rot="0" spcFirstLastPara="0" vertOverflow="ellipsis" vert="horz" wrap="square" anchor="ctr" anchorCtr="1"/>
        <a:lstStyle/>
        <a:p>
          <a:pPr>
            <a:defRPr lang="zh-CN" sz="900" b="0" i="0" u="none" strike="noStrike" kern="1200" baseline="0">
              <a:ln>
                <a:noFill/>
              </a:ln>
              <a:solidFill>
                <a:schemeClr val="tx2"/>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metal"/>
  </c:spPr>
  <c:txPr>
    <a:bodyPr rot="0" vert="eaVert" anchor="ctr" anchorCtr="1"/>
    <a:lstStyle/>
    <a:p>
      <a:pPr>
        <a:defRPr lang="zh-CN">
          <a:ln>
            <a:noFill/>
          </a:ln>
          <a:solidFill>
            <a:schemeClr val="tx2"/>
          </a:solidFill>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0" vertOverflow="ellipsis" vert="horz" wrap="square" anchor="ctr" anchorCtr="1"/>
        <a:lstStyle/>
        <a:p>
          <a:pPr>
            <a:defRPr lang="zh-CN" sz="1600" b="1" i="0" u="none" strike="noStrike" kern="1200" baseline="0">
              <a:solidFill>
                <a:schemeClr val="tx1">
                  <a:lumMod val="65000"/>
                  <a:lumOff val="35000"/>
                </a:schemeClr>
              </a:solidFill>
              <a:latin typeface="+mn-lt"/>
              <a:ea typeface="+mn-ea"/>
              <a:cs typeface="+mn-cs"/>
            </a:defRPr>
          </a:pPr>
          <a:endParaRPr lang="zh-CN"/>
        </a:p>
      </c:txPr>
    </c:title>
    <c:view3D>
      <c:rotX val="30"/>
      <c:rotY val="170"/>
      <c:depthPercent val="100"/>
      <c:perspective val="30"/>
    </c:view3D>
    <c:floor>
      <c:spPr>
        <a:noFill/>
        <a:effectLst/>
      </c:spPr>
    </c:floor>
    <c:sideWall>
      <c:spPr>
        <a:noFill/>
        <a:effectLst/>
      </c:spPr>
    </c:sideWall>
    <c:backWall>
      <c:spPr>
        <a:noFill/>
        <a:effectLst/>
      </c:spPr>
    </c:backWall>
    <c:plotArea>
      <c:layout>
        <c:manualLayout>
          <c:layoutTarget val="inner"/>
          <c:xMode val="edge"/>
          <c:yMode val="edge"/>
          <c:x val="0.10782808902532598"/>
          <c:y val="0.10661128418137802"/>
          <c:w val="0.80084420567920223"/>
          <c:h val="0.59086188992730959"/>
        </c:manualLayout>
      </c:layout>
      <c:pie3DChart>
        <c:varyColors val="1"/>
        <c:ser>
          <c:idx val="0"/>
          <c:order val="0"/>
          <c:tx>
            <c:strRef>
              <c:f>Sheet1!$B$1</c:f>
              <c:strCache>
                <c:ptCount val="1"/>
                <c:pt idx="0">
                  <c:v>2019财政拨款收入情况</c:v>
                </c:pt>
              </c:strCache>
            </c:strRef>
          </c:tx>
          <c:spPr>
            <a:scene3d>
              <a:camera prst="orthographicFront"/>
              <a:lightRig rig="threePt" dir="t"/>
            </a:scene3d>
            <a:sp3d contourW="9525"/>
          </c:spPr>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ontourW="9525"/>
            </c:spPr>
          </c:dPt>
          <c:dLbls>
            <c:dLbl>
              <c:idx val="0"/>
              <c:layout>
                <c:manualLayout>
                  <c:x val="-5.7559478127398304E-2"/>
                  <c:y val="3.8075458636206319E-3"/>
                </c:manualLayout>
              </c:layout>
              <c:dLblPos val="bestFit"/>
              <c:showVal val="1"/>
              <c:extLst>
                <c:ext xmlns:c15="http://schemas.microsoft.com/office/drawing/2012/chart" uri="{CE6537A1-D6FC-4f65-9D91-7224C49458BB}">
                  <c15:layout/>
                </c:ext>
              </c:extLst>
            </c:dLbl>
            <c:dLbl>
              <c:idx val="5"/>
              <c:layout>
                <c:manualLayout>
                  <c:x val="4.0483499616270104E-2"/>
                  <c:y val="3.4614053305642101E-2"/>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其他组织事务拨款</c:v>
                </c:pt>
                <c:pt idx="1">
                  <c:v>其他专科医院拨款</c:v>
                </c:pt>
                <c:pt idx="2">
                  <c:v>事业单位离退休拨款</c:v>
                </c:pt>
                <c:pt idx="3">
                  <c:v>其他公立医院拨款</c:v>
                </c:pt>
                <c:pt idx="4">
                  <c:v>综合医院拨款</c:v>
                </c:pt>
                <c:pt idx="5">
                  <c:v>突发公共卫生事件应急处理拨款</c:v>
                </c:pt>
              </c:strCache>
            </c:strRef>
          </c:cat>
          <c:val>
            <c:numRef>
              <c:f>Sheet1!$B$2:$B$7</c:f>
              <c:numCache>
                <c:formatCode>General</c:formatCode>
                <c:ptCount val="6"/>
                <c:pt idx="0">
                  <c:v>0.6000000000000002</c:v>
                </c:pt>
                <c:pt idx="1">
                  <c:v>994.2</c:v>
                </c:pt>
                <c:pt idx="2">
                  <c:v>0</c:v>
                </c:pt>
                <c:pt idx="3">
                  <c:v>110</c:v>
                </c:pt>
                <c:pt idx="4">
                  <c:v>50</c:v>
                </c:pt>
                <c:pt idx="5">
                  <c:v>0</c:v>
                </c:pt>
              </c:numCache>
            </c:numRef>
          </c:val>
        </c:ser>
        <c:dLbls>
          <c:showVal val="1"/>
        </c:dLbls>
      </c:pie3D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2020</a:t>
            </a:r>
            <a:r>
              <a:rPr altLang="en-US"/>
              <a:t>财政拨款收支与年初预算数对比情况</a:t>
            </a:r>
            <a:endParaRPr lang="en-US" altLang="zh-CN"/>
          </a:p>
        </c:rich>
      </c:tx>
      <c:spPr>
        <a:noFill/>
        <a:ln>
          <a:noFill/>
        </a:ln>
        <a:effectLst/>
      </c:spPr>
    </c:title>
    <c:plotArea>
      <c:layout/>
      <c:barChart>
        <c:barDir val="col"/>
        <c:grouping val="clustered"/>
        <c:ser>
          <c:idx val="0"/>
          <c:order val="0"/>
          <c:tx>
            <c:strRef>
              <c:f>Sheet1!$B$1</c:f>
              <c:strCache>
                <c:ptCount val="1"/>
                <c:pt idx="0">
                  <c:v>年初预算</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一般公共预算财政收入</c:v>
                </c:pt>
                <c:pt idx="1">
                  <c:v>本年支出</c:v>
                </c:pt>
              </c:strCache>
            </c:strRef>
          </c:cat>
          <c:val>
            <c:numRef>
              <c:f>Sheet1!$B$2:$B$3</c:f>
              <c:numCache>
                <c:formatCode>General</c:formatCode>
                <c:ptCount val="2"/>
                <c:pt idx="0">
                  <c:v>729</c:v>
                </c:pt>
                <c:pt idx="1">
                  <c:v>729</c:v>
                </c:pt>
              </c:numCache>
            </c:numRef>
          </c:val>
        </c:ser>
        <c:ser>
          <c:idx val="1"/>
          <c:order val="1"/>
          <c:tx>
            <c:strRef>
              <c:f>Sheet1!$C$1</c:f>
              <c:strCache>
                <c:ptCount val="1"/>
                <c:pt idx="0">
                  <c:v>年末决算</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一般公共预算财政收入</c:v>
                </c:pt>
                <c:pt idx="1">
                  <c:v>本年支出</c:v>
                </c:pt>
              </c:strCache>
            </c:strRef>
          </c:cat>
          <c:val>
            <c:numRef>
              <c:f>Sheet1!$C$2:$C$3</c:f>
              <c:numCache>
                <c:formatCode>General</c:formatCode>
                <c:ptCount val="2"/>
                <c:pt idx="0">
                  <c:v>1276.21</c:v>
                </c:pt>
                <c:pt idx="1">
                  <c:v>1225.1599999999999</c:v>
                </c:pt>
              </c:numCache>
            </c:numRef>
          </c:val>
        </c:ser>
        <c:dLbls>
          <c:showVal val="1"/>
        </c:dLbls>
        <c:gapWidth val="219"/>
        <c:overlap val="-27"/>
        <c:axId val="165816960"/>
        <c:axId val="166277504"/>
      </c:barChart>
      <c:lineChart>
        <c:grouping val="standard"/>
        <c:ser>
          <c:idx val="2"/>
          <c:order val="2"/>
          <c:tx>
            <c:strRef>
              <c:f>Sheet1!#REF!</c:f>
              <c:strCache>
                <c:ptCount val="1"/>
              </c:strCache>
            </c:strRef>
          </c:tx>
          <c:spPr>
            <a:ln w="28575" cap="rnd">
              <a:solidFill>
                <a:schemeClr val="accent3"/>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一般公共预算财政收入</c:v>
                </c:pt>
                <c:pt idx="1">
                  <c:v>本年支出</c:v>
                </c:pt>
              </c:strCache>
            </c:strRef>
          </c:cat>
          <c:val>
            <c:numRef>
              <c:f>Sheet1!#REF!</c:f>
              <c:numCache>
                <c:formatCode>General</c:formatCode>
                <c:ptCount val="1"/>
                <c:pt idx="0">
                  <c:v>1</c:v>
                </c:pt>
              </c:numCache>
            </c:numRef>
          </c:val>
        </c:ser>
        <c:dLbls>
          <c:showVal val="1"/>
        </c:dLbls>
        <c:marker val="1"/>
        <c:axId val="165816960"/>
        <c:axId val="166277504"/>
      </c:lineChart>
      <c:catAx>
        <c:axId val="165816960"/>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6277504"/>
        <c:crosses val="autoZero"/>
        <c:auto val="1"/>
        <c:lblAlgn val="ctr"/>
        <c:lblOffset val="100"/>
      </c:catAx>
      <c:valAx>
        <c:axId val="1662775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5816960"/>
        <c:crosses val="autoZero"/>
        <c:crossBetween val="between"/>
      </c:valAx>
      <c:spPr>
        <a:noFill/>
        <a:ln>
          <a:noFill/>
        </a:ln>
        <a:effectLst/>
      </c:spPr>
    </c:plotArea>
    <c:legend>
      <c:legendPos val="b"/>
      <c:legendEntry>
        <c:idx val="2"/>
        <c:delete val="1"/>
      </c:legendEntry>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财政拨款支出决算结构（按功能分类）</a:t>
            </a:r>
          </a:p>
        </c:rich>
      </c:tx>
      <c:spPr>
        <a:noFill/>
        <a:ln>
          <a:noFill/>
        </a:ln>
        <a:effectLst/>
      </c:spPr>
    </c:title>
    <c:view3D>
      <c:rotX val="30"/>
      <c:rotY val="115"/>
      <c:depthPercent val="100"/>
      <c:perspective val="30"/>
    </c:view3D>
    <c:floor>
      <c:spPr>
        <a:noFill/>
        <a:effectLst/>
      </c:spPr>
    </c:floor>
    <c:sideWall>
      <c:spPr>
        <a:noFill/>
        <a:effectLst/>
      </c:spPr>
    </c:sideWall>
    <c:backWall>
      <c:spPr>
        <a:noFill/>
        <a:effectLst/>
      </c:spPr>
    </c:backWall>
    <c:plotArea>
      <c:layout/>
      <c:pie3DChart>
        <c:varyColors val="1"/>
        <c:ser>
          <c:idx val="0"/>
          <c:order val="0"/>
          <c:tx>
            <c:strRef>
              <c:f>Sheet1!$B$1</c:f>
              <c:strCache>
                <c:ptCount val="1"/>
                <c:pt idx="0">
                  <c:v>系列 1</c:v>
                </c:pt>
              </c:strCache>
            </c:strRef>
          </c:tx>
          <c:spPr>
            <a:scene3d>
              <a:camera prst="orthographicFront"/>
              <a:lightRig rig="threePt" dir="t"/>
            </a:scene3d>
            <a:sp3d contourW="25400"/>
          </c:spPr>
          <c:dPt>
            <c:idx val="0"/>
            <c:spPr>
              <a:solidFill>
                <a:schemeClr val="accent1"/>
              </a:solidFill>
              <a:ln w="25400">
                <a:solidFill>
                  <a:schemeClr val="lt1"/>
                </a:solidFill>
              </a:ln>
              <a:effectLst/>
            </c:spPr>
          </c:dPt>
          <c:dPt>
            <c:idx val="1"/>
            <c:spPr>
              <a:solidFill>
                <a:schemeClr val="accent2"/>
              </a:solidFill>
              <a:ln w="2540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CatName val="1"/>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社会保障和就业支出</c:v>
                </c:pt>
                <c:pt idx="1">
                  <c:v>卫生健康支出</c:v>
                </c:pt>
              </c:strCache>
            </c:strRef>
          </c:cat>
          <c:val>
            <c:numRef>
              <c:f>Sheet1!$B$2:$B$3</c:f>
              <c:numCache>
                <c:formatCode>0.00_ </c:formatCode>
                <c:ptCount val="2"/>
                <c:pt idx="0">
                  <c:v>1.9200000000000004</c:v>
                </c:pt>
                <c:pt idx="1">
                  <c:v>1223.24</c:v>
                </c:pt>
              </c:numCache>
            </c:numRef>
          </c:val>
        </c:ser>
        <c:ser>
          <c:idx val="1"/>
          <c:order val="1"/>
          <c:tx>
            <c:strRef>
              <c:f>Sheet1!#REF!</c:f>
              <c:strCache>
                <c:ptCount val="1"/>
              </c:strCache>
            </c:strRef>
          </c:tx>
          <c:dPt>
            <c:idx val="0"/>
            <c:spPr>
              <a:solidFill>
                <a:schemeClr val="accent1"/>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CatName val="1"/>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社会保障和就业支出</c:v>
                </c:pt>
                <c:pt idx="1">
                  <c:v>卫生健康支出</c:v>
                </c:pt>
              </c:strCache>
            </c:strRef>
          </c:cat>
          <c:val>
            <c:numRef>
              <c:f>Sheet1!#REF!</c:f>
              <c:numCache>
                <c:formatCode>General</c:formatCode>
                <c:ptCount val="1"/>
                <c:pt idx="0">
                  <c:v>1</c:v>
                </c:pt>
              </c:numCache>
            </c:numRef>
          </c:val>
        </c:ser>
        <c:ser>
          <c:idx val="2"/>
          <c:order val="2"/>
          <c:tx>
            <c:strRef>
              <c:f>Sheet1!#REF!</c:f>
              <c:strCache>
                <c:ptCount val="1"/>
              </c:strCache>
            </c:strRef>
          </c:tx>
          <c:dPt>
            <c:idx val="0"/>
            <c:spPr>
              <a:solidFill>
                <a:schemeClr val="accent1"/>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CatName val="1"/>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社会保障和就业支出</c:v>
                </c:pt>
                <c:pt idx="1">
                  <c:v>卫生健康支出</c:v>
                </c:pt>
              </c:strCache>
            </c:strRef>
          </c:cat>
          <c:val>
            <c:numRef>
              <c:f>Sheet1!#REF!</c:f>
              <c:numCache>
                <c:formatCode>General</c:formatCode>
                <c:ptCount val="1"/>
                <c:pt idx="0">
                  <c:v>1</c:v>
                </c:pt>
              </c:numCache>
            </c:numRef>
          </c:val>
        </c:ser>
        <c:dLbls>
          <c:showPercent val="1"/>
        </c:dLbls>
      </c:pie3D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34</Pages>
  <Words>1706</Words>
  <Characters>9730</Characters>
  <Application>Microsoft Office Word</Application>
  <DocSecurity>0</DocSecurity>
  <Lines>81</Lines>
  <Paragraphs>22</Paragraphs>
  <ScaleCrop>false</ScaleCrop>
  <Company>Lenovo</Company>
  <LinksUpToDate>false</LinksUpToDate>
  <CharactersWithSpaces>11414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d</cp:lastModifiedBy>
  <cp:revision>7</cp:revision>
  <dcterms:created xsi:type="dcterms:W3CDTF">2021-07-27T05:10:00Z</dcterms:created>
  <dcterms:modified xsi:type="dcterms:W3CDTF">2022-05-30T02:20:00Z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65FA352BAB5146309CB066C800874C19</vt:lpwstr>
  </property>
</Properties>
</file>